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湖南工学院硕士立项建设规划任务分解表</w:t>
      </w:r>
    </w:p>
    <w:tbl>
      <w:tblPr>
        <w:tblStyle w:val="4"/>
        <w:tblW w:w="157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27"/>
        <w:gridCol w:w="4545"/>
        <w:gridCol w:w="4560"/>
        <w:gridCol w:w="720"/>
        <w:gridCol w:w="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27" w:type="dxa"/>
            <w:tcBorders>
              <w:top w:val="single" w:color="auto" w:sz="12" w:space="0"/>
              <w:bottom w:val="single" w:color="auto" w:sz="12" w:space="0"/>
            </w:tcBorders>
            <w:vAlign w:val="center"/>
          </w:tcPr>
          <w:p>
            <w:pPr>
              <w:jc w:val="center"/>
              <w:rPr>
                <w:b/>
                <w:bCs/>
                <w:color w:val="auto"/>
                <w:sz w:val="18"/>
                <w:szCs w:val="18"/>
              </w:rPr>
            </w:pPr>
            <w:r>
              <w:rPr>
                <w:rFonts w:hint="eastAsia"/>
                <w:b/>
                <w:bCs/>
                <w:color w:val="auto"/>
                <w:sz w:val="18"/>
                <w:szCs w:val="18"/>
              </w:rPr>
              <w:t>新增硕士学位授予单位增列条件</w:t>
            </w:r>
          </w:p>
        </w:tc>
        <w:tc>
          <w:tcPr>
            <w:tcW w:w="4545" w:type="dxa"/>
            <w:tcBorders>
              <w:top w:val="single" w:color="auto" w:sz="12" w:space="0"/>
              <w:bottom w:val="single" w:color="auto" w:sz="12" w:space="0"/>
            </w:tcBorders>
            <w:vAlign w:val="center"/>
          </w:tcPr>
          <w:p>
            <w:pPr>
              <w:jc w:val="center"/>
              <w:rPr>
                <w:b/>
                <w:bCs/>
                <w:color w:val="auto"/>
                <w:sz w:val="18"/>
                <w:szCs w:val="18"/>
              </w:rPr>
            </w:pPr>
            <w:r>
              <w:rPr>
                <w:rFonts w:hint="eastAsia"/>
                <w:b/>
                <w:bCs/>
                <w:color w:val="auto"/>
                <w:sz w:val="18"/>
                <w:szCs w:val="18"/>
              </w:rPr>
              <w:t>2017年1月—2020年1月</w:t>
            </w:r>
          </w:p>
        </w:tc>
        <w:tc>
          <w:tcPr>
            <w:tcW w:w="4560" w:type="dxa"/>
            <w:tcBorders>
              <w:top w:val="single" w:color="auto" w:sz="12" w:space="0"/>
              <w:bottom w:val="single" w:color="auto" w:sz="12" w:space="0"/>
            </w:tcBorders>
            <w:vAlign w:val="center"/>
          </w:tcPr>
          <w:p>
            <w:pPr>
              <w:jc w:val="center"/>
              <w:rPr>
                <w:b/>
                <w:bCs/>
                <w:color w:val="auto"/>
                <w:sz w:val="18"/>
                <w:szCs w:val="18"/>
              </w:rPr>
            </w:pPr>
            <w:r>
              <w:rPr>
                <w:rFonts w:hint="eastAsia"/>
                <w:b/>
                <w:bCs/>
                <w:color w:val="auto"/>
                <w:sz w:val="18"/>
                <w:szCs w:val="18"/>
              </w:rPr>
              <w:t>2020年1月—2023年1月</w:t>
            </w:r>
          </w:p>
        </w:tc>
        <w:tc>
          <w:tcPr>
            <w:tcW w:w="720" w:type="dxa"/>
            <w:tcBorders>
              <w:top w:val="single" w:color="auto" w:sz="12" w:space="0"/>
              <w:bottom w:val="single" w:color="auto" w:sz="12" w:space="0"/>
            </w:tcBorders>
            <w:vAlign w:val="center"/>
          </w:tcPr>
          <w:p>
            <w:pPr>
              <w:jc w:val="center"/>
              <w:rPr>
                <w:b/>
                <w:bCs/>
                <w:color w:val="auto"/>
                <w:sz w:val="18"/>
                <w:szCs w:val="18"/>
              </w:rPr>
            </w:pPr>
            <w:r>
              <w:rPr>
                <w:rFonts w:hint="eastAsia"/>
                <w:b/>
                <w:bCs/>
                <w:color w:val="auto"/>
                <w:sz w:val="18"/>
                <w:szCs w:val="18"/>
              </w:rPr>
              <w:t>实施部门</w:t>
            </w:r>
          </w:p>
        </w:tc>
        <w:tc>
          <w:tcPr>
            <w:tcW w:w="804" w:type="dxa"/>
            <w:tcBorders>
              <w:top w:val="single" w:color="auto" w:sz="12" w:space="0"/>
              <w:bottom w:val="single" w:color="auto" w:sz="12" w:space="0"/>
            </w:tcBorders>
            <w:vAlign w:val="center"/>
          </w:tcPr>
          <w:p>
            <w:pPr>
              <w:jc w:val="center"/>
              <w:rPr>
                <w:b/>
                <w:bCs/>
                <w:color w:val="auto"/>
              </w:rPr>
            </w:pPr>
            <w:r>
              <w:rPr>
                <w:rFonts w:hint="eastAsia"/>
                <w:b/>
                <w:bCs/>
                <w:color w:val="auto"/>
              </w:rPr>
              <w:t>配合部门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27" w:type="dxa"/>
            <w:vMerge w:val="restart"/>
            <w:tcBorders>
              <w:top w:val="single" w:color="auto" w:sz="12" w:space="0"/>
            </w:tcBorders>
            <w:vAlign w:val="center"/>
          </w:tcPr>
          <w:p>
            <w:pPr>
              <w:jc w:val="left"/>
              <w:rPr>
                <w:color w:val="auto"/>
                <w:sz w:val="18"/>
                <w:szCs w:val="18"/>
              </w:rPr>
            </w:pPr>
            <w:r>
              <w:rPr>
                <w:rFonts w:hint="eastAsia"/>
                <w:color w:val="auto"/>
                <w:sz w:val="18"/>
                <w:szCs w:val="18"/>
              </w:rPr>
              <w:t>1、坚持社会主义办学方向，全面落实立德树人根本任务，办学定位清晰、目标明确、特色鲜明，党建和思想政治工作落实到位；</w:t>
            </w:r>
          </w:p>
          <w:p>
            <w:pPr>
              <w:jc w:val="left"/>
              <w:rPr>
                <w:color w:val="auto"/>
                <w:sz w:val="18"/>
                <w:szCs w:val="18"/>
              </w:rPr>
            </w:pPr>
            <w:r>
              <w:rPr>
                <w:rFonts w:hint="eastAsia"/>
                <w:color w:val="auto"/>
                <w:sz w:val="18"/>
                <w:szCs w:val="18"/>
              </w:rPr>
              <w:t>2、已获得学士学位授权8年以上；</w:t>
            </w:r>
          </w:p>
          <w:p>
            <w:pPr>
              <w:jc w:val="left"/>
              <w:rPr>
                <w:color w:val="auto"/>
                <w:sz w:val="18"/>
                <w:szCs w:val="18"/>
              </w:rPr>
            </w:pPr>
            <w:r>
              <w:rPr>
                <w:rFonts w:hint="eastAsia"/>
                <w:color w:val="auto"/>
                <w:sz w:val="18"/>
                <w:szCs w:val="18"/>
              </w:rPr>
              <w:t>3、专任教师中具有博士学位教师的比例不低于25%；</w:t>
            </w:r>
          </w:p>
          <w:p>
            <w:pPr>
              <w:jc w:val="left"/>
              <w:rPr>
                <w:color w:val="auto"/>
                <w:sz w:val="18"/>
                <w:szCs w:val="18"/>
              </w:rPr>
            </w:pPr>
            <w:r>
              <w:rPr>
                <w:rFonts w:hint="eastAsia"/>
                <w:color w:val="auto"/>
                <w:sz w:val="18"/>
                <w:szCs w:val="18"/>
              </w:rPr>
              <w:t>4、具有硕士以上学位教师的比例不低于80%；</w:t>
            </w:r>
          </w:p>
          <w:p>
            <w:pPr>
              <w:jc w:val="left"/>
              <w:rPr>
                <w:color w:val="auto"/>
                <w:sz w:val="18"/>
                <w:szCs w:val="18"/>
              </w:rPr>
            </w:pPr>
            <w:r>
              <w:rPr>
                <w:rFonts w:hint="eastAsia"/>
                <w:color w:val="auto"/>
                <w:sz w:val="18"/>
                <w:szCs w:val="18"/>
              </w:rPr>
              <w:t>5、生师比不超过17:1；</w:t>
            </w:r>
          </w:p>
          <w:p>
            <w:pPr>
              <w:jc w:val="left"/>
              <w:rPr>
                <w:color w:val="auto"/>
                <w:sz w:val="18"/>
                <w:szCs w:val="18"/>
              </w:rPr>
            </w:pPr>
            <w:r>
              <w:rPr>
                <w:rFonts w:hint="eastAsia"/>
                <w:color w:val="auto"/>
                <w:sz w:val="18"/>
                <w:szCs w:val="18"/>
              </w:rPr>
              <w:t>6、部分教师担任过硕士生导师，拟聘导师中应有一定比例的双师型教师及行业、企业专家；</w:t>
            </w:r>
          </w:p>
          <w:p>
            <w:pPr>
              <w:jc w:val="left"/>
              <w:rPr>
                <w:color w:val="auto"/>
                <w:sz w:val="18"/>
                <w:szCs w:val="18"/>
              </w:rPr>
            </w:pPr>
            <w:r>
              <w:rPr>
                <w:rFonts w:hint="eastAsia"/>
                <w:color w:val="auto"/>
                <w:sz w:val="18"/>
                <w:szCs w:val="18"/>
              </w:rPr>
              <w:t>7、近5年内一般应获得多项省部级及以上教学奖励、精品课程、卓越计划和通过专业认证，无重大学术不端事件。已制定科学完整的硕士研究生培养方案，能够按方案开设高水平硕士生课程；</w:t>
            </w:r>
          </w:p>
          <w:p>
            <w:pPr>
              <w:jc w:val="left"/>
              <w:rPr>
                <w:color w:val="auto"/>
                <w:sz w:val="18"/>
                <w:szCs w:val="18"/>
              </w:rPr>
            </w:pPr>
            <w:r>
              <w:rPr>
                <w:rFonts w:hint="eastAsia"/>
                <w:color w:val="auto"/>
                <w:sz w:val="18"/>
                <w:szCs w:val="18"/>
              </w:rPr>
              <w:t>8、近5年，师均年科研经费不低于4万元（文科单科性高校和艺术体育类高校不低于1万元）。一般应获得多项省部级及以上科研奖励，有多项科研成果直接服务经济社会发展，取得较好的经济社会效益。</w:t>
            </w:r>
          </w:p>
          <w:p>
            <w:pPr>
              <w:jc w:val="left"/>
              <w:rPr>
                <w:color w:val="auto"/>
                <w:sz w:val="18"/>
                <w:szCs w:val="18"/>
              </w:rPr>
            </w:pPr>
            <w:r>
              <w:rPr>
                <w:rFonts w:hint="eastAsia"/>
                <w:color w:val="auto"/>
                <w:sz w:val="18"/>
                <w:szCs w:val="18"/>
              </w:rPr>
              <w:t>9、具有支撑硕士研究生培养所必需的实验室、基地等教学实践平台；拥有充足的教学科研仪器设备、图书文献资料；国内学术交流与合作活跃，与行业、企业等有实质性合作成果；学校生均经费收入不低于3万元（艺术体育类高校不低于4万元）；</w:t>
            </w:r>
          </w:p>
          <w:p>
            <w:pPr>
              <w:jc w:val="left"/>
              <w:rPr>
                <w:color w:val="auto"/>
                <w:sz w:val="18"/>
                <w:szCs w:val="18"/>
              </w:rPr>
            </w:pPr>
            <w:r>
              <w:rPr>
                <w:rFonts w:hint="eastAsia"/>
                <w:color w:val="auto"/>
                <w:sz w:val="18"/>
                <w:szCs w:val="18"/>
              </w:rPr>
              <w:t>10、学校研究生教育管理机构健全，专职管理人员配置合理，规章制度完善，执行情况较好。有完善的研究生奖助体系，公共服务体系完备。</w:t>
            </w:r>
          </w:p>
        </w:tc>
        <w:tc>
          <w:tcPr>
            <w:tcW w:w="9105" w:type="dxa"/>
            <w:gridSpan w:val="2"/>
            <w:tcBorders>
              <w:top w:val="single" w:color="auto" w:sz="12" w:space="0"/>
              <w:bottom w:val="single" w:color="auto" w:sz="12" w:space="0"/>
            </w:tcBorders>
            <w:vAlign w:val="center"/>
          </w:tcPr>
          <w:p>
            <w:pPr>
              <w:adjustRightInd w:val="0"/>
              <w:snapToGrid w:val="0"/>
              <w:jc w:val="left"/>
              <w:rPr>
                <w:b/>
                <w:bCs/>
                <w:color w:val="auto"/>
                <w:sz w:val="18"/>
                <w:szCs w:val="18"/>
              </w:rPr>
            </w:pPr>
            <w:r>
              <w:rPr>
                <w:rFonts w:hint="eastAsia"/>
                <w:color w:val="auto"/>
                <w:sz w:val="18"/>
                <w:szCs w:val="18"/>
              </w:rPr>
              <w:t>坚持社会主义办学方向，全面落实立德树人根本任务，办学定位清晰、目标明确、特色鲜明，党建和思想政治工作落实到位，并逐步提升学校办学影响和知名度。</w:t>
            </w:r>
          </w:p>
        </w:tc>
        <w:tc>
          <w:tcPr>
            <w:tcW w:w="720" w:type="dxa"/>
            <w:tcBorders>
              <w:top w:val="single" w:color="auto" w:sz="12" w:space="0"/>
              <w:bottom w:val="single" w:color="auto" w:sz="12" w:space="0"/>
            </w:tcBorders>
            <w:vAlign w:val="center"/>
          </w:tcPr>
          <w:p>
            <w:pPr>
              <w:adjustRightInd w:val="0"/>
              <w:snapToGrid w:val="0"/>
              <w:jc w:val="center"/>
              <w:rPr>
                <w:b/>
                <w:bCs/>
                <w:color w:val="auto"/>
                <w:sz w:val="18"/>
                <w:szCs w:val="18"/>
              </w:rPr>
            </w:pPr>
            <w:r>
              <w:rPr>
                <w:rFonts w:hint="eastAsia"/>
                <w:color w:val="auto"/>
                <w:sz w:val="18"/>
                <w:szCs w:val="18"/>
              </w:rPr>
              <w:t>党政办</w:t>
            </w:r>
          </w:p>
        </w:tc>
        <w:tc>
          <w:tcPr>
            <w:tcW w:w="804" w:type="dxa"/>
            <w:tcBorders>
              <w:top w:val="single" w:color="auto" w:sz="12" w:space="0"/>
              <w:bottom w:val="single" w:color="auto" w:sz="12" w:space="0"/>
            </w:tcBorders>
            <w:vAlign w:val="center"/>
          </w:tcPr>
          <w:p>
            <w:pPr>
              <w:adjustRightInd w:val="0"/>
              <w:snapToGrid w:val="0"/>
              <w:ind w:left="-105" w:leftChars="-50" w:right="-105" w:rightChars="-50"/>
              <w:jc w:val="center"/>
              <w:rPr>
                <w:b/>
                <w:bCs/>
                <w:color w:val="auto"/>
              </w:rPr>
            </w:pPr>
            <w:r>
              <w:rPr>
                <w:rFonts w:hint="eastAsia"/>
                <w:color w:val="auto"/>
                <w:sz w:val="15"/>
                <w:szCs w:val="15"/>
              </w:rPr>
              <w:t>组织部、教务处、学生处、学科建设中心、宣传部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27" w:type="dxa"/>
            <w:vMerge w:val="continue"/>
            <w:vAlign w:val="center"/>
          </w:tcPr>
          <w:p>
            <w:pPr>
              <w:jc w:val="center"/>
              <w:rPr>
                <w:b/>
                <w:bCs/>
                <w:color w:val="auto"/>
                <w:sz w:val="18"/>
                <w:szCs w:val="18"/>
              </w:rPr>
            </w:pPr>
          </w:p>
        </w:tc>
        <w:tc>
          <w:tcPr>
            <w:tcW w:w="9105" w:type="dxa"/>
            <w:gridSpan w:val="2"/>
            <w:tcBorders>
              <w:top w:val="single" w:color="auto" w:sz="12" w:space="0"/>
              <w:bottom w:val="single" w:color="auto" w:sz="12" w:space="0"/>
            </w:tcBorders>
            <w:vAlign w:val="center"/>
          </w:tcPr>
          <w:p>
            <w:pPr>
              <w:adjustRightInd w:val="0"/>
              <w:snapToGrid w:val="0"/>
              <w:jc w:val="left"/>
              <w:rPr>
                <w:b/>
                <w:bCs/>
                <w:color w:val="auto"/>
                <w:sz w:val="18"/>
                <w:szCs w:val="18"/>
              </w:rPr>
            </w:pPr>
            <w:r>
              <w:rPr>
                <w:rFonts w:hint="eastAsia"/>
                <w:color w:val="auto"/>
                <w:sz w:val="18"/>
                <w:szCs w:val="18"/>
              </w:rPr>
              <w:t>推进学校综合改革，督促各单位落实学校十三五规划，充分调动教师教学、科研积极性，大力激发师生的创新创造活力。</w:t>
            </w:r>
          </w:p>
        </w:tc>
        <w:tc>
          <w:tcPr>
            <w:tcW w:w="720" w:type="dxa"/>
            <w:tcBorders>
              <w:top w:val="single" w:color="auto" w:sz="12" w:space="0"/>
              <w:bottom w:val="single" w:color="auto" w:sz="12" w:space="0"/>
            </w:tcBorders>
            <w:vAlign w:val="center"/>
          </w:tcPr>
          <w:p>
            <w:pPr>
              <w:adjustRightInd w:val="0"/>
              <w:snapToGrid w:val="0"/>
              <w:jc w:val="center"/>
              <w:rPr>
                <w:b/>
                <w:bCs/>
                <w:color w:val="auto"/>
                <w:sz w:val="18"/>
                <w:szCs w:val="18"/>
              </w:rPr>
            </w:pPr>
            <w:r>
              <w:rPr>
                <w:rFonts w:hint="eastAsia"/>
                <w:color w:val="auto"/>
                <w:sz w:val="18"/>
                <w:szCs w:val="18"/>
              </w:rPr>
              <w:t>综改办</w:t>
            </w:r>
          </w:p>
        </w:tc>
        <w:tc>
          <w:tcPr>
            <w:tcW w:w="804" w:type="dxa"/>
            <w:tcBorders>
              <w:top w:val="single" w:color="auto" w:sz="12" w:space="0"/>
              <w:bottom w:val="single" w:color="auto" w:sz="12" w:space="0"/>
            </w:tcBorders>
            <w:vAlign w:val="center"/>
          </w:tcPr>
          <w:p>
            <w:pPr>
              <w:adjustRightInd w:val="0"/>
              <w:snapToGrid w:val="0"/>
              <w:jc w:val="center"/>
              <w:rPr>
                <w:b/>
                <w:bCs/>
                <w:color w:val="auto"/>
              </w:rPr>
            </w:pPr>
            <w:r>
              <w:rPr>
                <w:rFonts w:hint="eastAsia"/>
                <w:color w:val="auto"/>
                <w:sz w:val="15"/>
                <w:szCs w:val="15"/>
              </w:rPr>
              <w:t>党政办、教务处、人事处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27" w:type="dxa"/>
            <w:vMerge w:val="continue"/>
            <w:vAlign w:val="center"/>
          </w:tcPr>
          <w:p>
            <w:pPr>
              <w:jc w:val="left"/>
              <w:rPr>
                <w:color w:val="auto"/>
                <w:sz w:val="18"/>
                <w:szCs w:val="18"/>
              </w:rPr>
            </w:pPr>
          </w:p>
        </w:tc>
        <w:tc>
          <w:tcPr>
            <w:tcW w:w="4545" w:type="dxa"/>
            <w:tcBorders>
              <w:top w:val="single" w:color="auto" w:sz="12" w:space="0"/>
              <w:bottom w:val="single" w:color="auto" w:sz="12" w:space="0"/>
            </w:tcBorders>
            <w:vAlign w:val="center"/>
          </w:tcPr>
          <w:p>
            <w:pPr>
              <w:jc w:val="left"/>
              <w:rPr>
                <w:b/>
                <w:bCs/>
                <w:color w:val="auto"/>
                <w:sz w:val="18"/>
                <w:szCs w:val="18"/>
              </w:rPr>
            </w:pPr>
            <w:r>
              <w:rPr>
                <w:rFonts w:hint="eastAsia"/>
                <w:color w:val="auto"/>
                <w:sz w:val="18"/>
                <w:szCs w:val="18"/>
              </w:rPr>
              <w:t>年生均经费收入不低于2万元。</w:t>
            </w:r>
          </w:p>
        </w:tc>
        <w:tc>
          <w:tcPr>
            <w:tcW w:w="4560" w:type="dxa"/>
            <w:tcBorders>
              <w:top w:val="single" w:color="auto" w:sz="12" w:space="0"/>
              <w:bottom w:val="single" w:color="auto" w:sz="12" w:space="0"/>
            </w:tcBorders>
            <w:vAlign w:val="center"/>
          </w:tcPr>
          <w:p>
            <w:pPr>
              <w:jc w:val="left"/>
              <w:rPr>
                <w:b/>
                <w:bCs/>
                <w:color w:val="auto"/>
                <w:sz w:val="18"/>
                <w:szCs w:val="18"/>
              </w:rPr>
            </w:pPr>
            <w:r>
              <w:rPr>
                <w:rFonts w:hint="eastAsia"/>
                <w:color w:val="auto"/>
                <w:sz w:val="18"/>
                <w:szCs w:val="18"/>
              </w:rPr>
              <w:t>年生均经费收入不低于3万元。</w:t>
            </w:r>
          </w:p>
        </w:tc>
        <w:tc>
          <w:tcPr>
            <w:tcW w:w="720" w:type="dxa"/>
            <w:vMerge w:val="restart"/>
            <w:tcBorders>
              <w:top w:val="single" w:color="auto" w:sz="12" w:space="0"/>
            </w:tcBorders>
            <w:vAlign w:val="center"/>
          </w:tcPr>
          <w:p>
            <w:pPr>
              <w:adjustRightInd w:val="0"/>
              <w:snapToGrid w:val="0"/>
              <w:ind w:left="-105" w:leftChars="-50" w:right="-105" w:rightChars="-50"/>
              <w:jc w:val="center"/>
              <w:rPr>
                <w:color w:val="auto"/>
                <w:sz w:val="18"/>
                <w:szCs w:val="18"/>
              </w:rPr>
            </w:pPr>
            <w:r>
              <w:rPr>
                <w:rFonts w:hint="eastAsia"/>
                <w:color w:val="auto"/>
                <w:sz w:val="18"/>
                <w:szCs w:val="18"/>
              </w:rPr>
              <w:t>财务处</w:t>
            </w:r>
          </w:p>
        </w:tc>
        <w:tc>
          <w:tcPr>
            <w:tcW w:w="804" w:type="dxa"/>
            <w:vMerge w:val="restart"/>
            <w:tcBorders>
              <w:top w:val="single" w:color="auto" w:sz="12" w:space="0"/>
            </w:tcBorders>
            <w:vAlign w:val="center"/>
          </w:tcPr>
          <w:p>
            <w:pPr>
              <w:adjustRightInd w:val="0"/>
              <w:snapToGrid w:val="0"/>
              <w:jc w:val="center"/>
              <w:rPr>
                <w:color w:val="auto"/>
                <w:sz w:val="18"/>
                <w:szCs w:val="18"/>
              </w:rPr>
            </w:pPr>
            <w:r>
              <w:rPr>
                <w:rFonts w:hint="eastAsia"/>
                <w:color w:val="auto"/>
                <w:sz w:val="15"/>
                <w:szCs w:val="15"/>
              </w:rPr>
              <w:t>科技处、学科中心、校企合作处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jc w:val="center"/>
        </w:trPr>
        <w:tc>
          <w:tcPr>
            <w:tcW w:w="5127" w:type="dxa"/>
            <w:vMerge w:val="continue"/>
            <w:vAlign w:val="center"/>
          </w:tcPr>
          <w:p>
            <w:pPr>
              <w:jc w:val="left"/>
              <w:rPr>
                <w:color w:val="auto"/>
                <w:sz w:val="18"/>
                <w:szCs w:val="18"/>
              </w:rPr>
            </w:pPr>
          </w:p>
        </w:tc>
        <w:tc>
          <w:tcPr>
            <w:tcW w:w="9105" w:type="dxa"/>
            <w:gridSpan w:val="2"/>
            <w:tcBorders>
              <w:top w:val="single" w:color="auto" w:sz="12" w:space="0"/>
              <w:bottom w:val="single" w:color="auto" w:sz="12" w:space="0"/>
            </w:tcBorders>
            <w:vAlign w:val="center"/>
          </w:tcPr>
          <w:p>
            <w:pPr>
              <w:jc w:val="left"/>
              <w:rPr>
                <w:color w:val="auto"/>
                <w:sz w:val="18"/>
                <w:szCs w:val="18"/>
              </w:rPr>
            </w:pPr>
            <w:r>
              <w:rPr>
                <w:rFonts w:hint="eastAsia"/>
                <w:color w:val="auto"/>
                <w:sz w:val="18"/>
                <w:szCs w:val="18"/>
              </w:rPr>
              <w:t>做好拟授权学科和支撑学科建设工作，每年投入不低于1500万元，并在建设期内逐年递增。</w:t>
            </w:r>
          </w:p>
        </w:tc>
        <w:tc>
          <w:tcPr>
            <w:tcW w:w="720" w:type="dxa"/>
            <w:vMerge w:val="continue"/>
            <w:tcBorders>
              <w:bottom w:val="single" w:color="auto" w:sz="12" w:space="0"/>
            </w:tcBorders>
            <w:vAlign w:val="center"/>
          </w:tcPr>
          <w:p>
            <w:pPr>
              <w:adjustRightInd w:val="0"/>
              <w:snapToGrid w:val="0"/>
              <w:jc w:val="center"/>
              <w:rPr>
                <w:color w:val="auto"/>
                <w:sz w:val="18"/>
                <w:szCs w:val="18"/>
              </w:rPr>
            </w:pPr>
          </w:p>
        </w:tc>
        <w:tc>
          <w:tcPr>
            <w:tcW w:w="804" w:type="dxa"/>
            <w:vMerge w:val="continue"/>
            <w:tcBorders>
              <w:bottom w:val="single" w:color="auto" w:sz="12" w:space="0"/>
            </w:tcBorders>
            <w:vAlign w:val="center"/>
          </w:tcPr>
          <w:p>
            <w:pPr>
              <w:adjustRightInd w:val="0"/>
              <w:snapToGrid w:val="0"/>
              <w:jc w:val="center"/>
              <w:rPr>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5127" w:type="dxa"/>
            <w:vMerge w:val="continue"/>
            <w:vAlign w:val="center"/>
          </w:tcPr>
          <w:p>
            <w:pPr>
              <w:jc w:val="left"/>
              <w:rPr>
                <w:color w:val="auto"/>
                <w:sz w:val="18"/>
                <w:szCs w:val="18"/>
              </w:rPr>
            </w:pPr>
          </w:p>
        </w:tc>
        <w:tc>
          <w:tcPr>
            <w:tcW w:w="4545" w:type="dxa"/>
            <w:tcBorders>
              <w:top w:val="single" w:color="auto" w:sz="12" w:space="0"/>
              <w:bottom w:val="single" w:color="auto" w:sz="4" w:space="0"/>
            </w:tcBorders>
          </w:tcPr>
          <w:p>
            <w:pPr>
              <w:adjustRightInd w:val="0"/>
              <w:snapToGrid w:val="0"/>
              <w:spacing w:line="240" w:lineRule="exact"/>
              <w:rPr>
                <w:color w:val="auto"/>
                <w:sz w:val="18"/>
                <w:szCs w:val="18"/>
              </w:rPr>
            </w:pPr>
            <w:r>
              <w:rPr>
                <w:rFonts w:hint="eastAsia"/>
                <w:color w:val="auto"/>
                <w:sz w:val="18"/>
                <w:szCs w:val="18"/>
              </w:rPr>
              <w:t>1、聘请1-2位长江学者、芙蓉学者等高端人才来校工作；</w:t>
            </w:r>
          </w:p>
          <w:p>
            <w:pPr>
              <w:adjustRightInd w:val="0"/>
              <w:snapToGrid w:val="0"/>
              <w:spacing w:line="280" w:lineRule="exact"/>
              <w:rPr>
                <w:color w:val="auto"/>
                <w:sz w:val="18"/>
                <w:szCs w:val="18"/>
              </w:rPr>
            </w:pPr>
            <w:r>
              <w:rPr>
                <w:rFonts w:hint="eastAsia"/>
                <w:color w:val="auto"/>
                <w:sz w:val="18"/>
                <w:szCs w:val="18"/>
              </w:rPr>
              <w:t>2、全校专任教师具有博士学位的人数不低于16%，具有硕士学位人数不低于72%；</w:t>
            </w:r>
          </w:p>
          <w:p>
            <w:pPr>
              <w:adjustRightInd w:val="0"/>
              <w:snapToGrid w:val="0"/>
              <w:spacing w:line="280" w:lineRule="exact"/>
              <w:rPr>
                <w:color w:val="auto"/>
                <w:sz w:val="18"/>
                <w:szCs w:val="18"/>
              </w:rPr>
            </w:pPr>
            <w:r>
              <w:rPr>
                <w:rFonts w:hint="eastAsia"/>
                <w:color w:val="auto"/>
                <w:sz w:val="18"/>
                <w:szCs w:val="18"/>
              </w:rPr>
              <w:t>3、生师比低于18：1。</w:t>
            </w:r>
          </w:p>
        </w:tc>
        <w:tc>
          <w:tcPr>
            <w:tcW w:w="4560" w:type="dxa"/>
            <w:tcBorders>
              <w:top w:val="single" w:color="auto" w:sz="12" w:space="0"/>
              <w:bottom w:val="single" w:color="auto" w:sz="4" w:space="0"/>
            </w:tcBorders>
          </w:tcPr>
          <w:p>
            <w:pPr>
              <w:adjustRightInd w:val="0"/>
              <w:snapToGrid w:val="0"/>
              <w:spacing w:line="280" w:lineRule="exact"/>
              <w:rPr>
                <w:color w:val="auto"/>
                <w:sz w:val="18"/>
                <w:szCs w:val="18"/>
              </w:rPr>
            </w:pPr>
            <w:r>
              <w:rPr>
                <w:rFonts w:hint="eastAsia"/>
                <w:color w:val="auto"/>
                <w:sz w:val="18"/>
                <w:szCs w:val="18"/>
              </w:rPr>
              <w:t>1、聘请1-2位长江学者、芙蓉学者等高端人才来校工作；</w:t>
            </w:r>
          </w:p>
          <w:p>
            <w:pPr>
              <w:adjustRightInd w:val="0"/>
              <w:snapToGrid w:val="0"/>
              <w:spacing w:line="280" w:lineRule="exact"/>
              <w:rPr>
                <w:color w:val="auto"/>
                <w:sz w:val="18"/>
                <w:szCs w:val="18"/>
              </w:rPr>
            </w:pPr>
            <w:r>
              <w:rPr>
                <w:rFonts w:hint="eastAsia"/>
                <w:color w:val="auto"/>
                <w:sz w:val="18"/>
                <w:szCs w:val="18"/>
              </w:rPr>
              <w:t>2、全校专任教师具有博士学位的人数不低于25%，具有硕士学位人数不低于80%；</w:t>
            </w:r>
          </w:p>
          <w:p>
            <w:pPr>
              <w:adjustRightInd w:val="0"/>
              <w:snapToGrid w:val="0"/>
              <w:spacing w:line="280" w:lineRule="exact"/>
              <w:rPr>
                <w:color w:val="auto"/>
                <w:sz w:val="18"/>
                <w:szCs w:val="18"/>
              </w:rPr>
            </w:pPr>
            <w:r>
              <w:rPr>
                <w:rFonts w:hint="eastAsia"/>
                <w:color w:val="auto"/>
                <w:sz w:val="18"/>
                <w:szCs w:val="18"/>
              </w:rPr>
              <w:t>3、生师比低于17：1。</w:t>
            </w:r>
          </w:p>
        </w:tc>
        <w:tc>
          <w:tcPr>
            <w:tcW w:w="720" w:type="dxa"/>
            <w:vMerge w:val="restart"/>
            <w:tcBorders>
              <w:top w:val="single" w:color="auto" w:sz="12" w:space="0"/>
            </w:tcBorders>
            <w:vAlign w:val="center"/>
          </w:tcPr>
          <w:p>
            <w:pPr>
              <w:adjustRightInd w:val="0"/>
              <w:snapToGrid w:val="0"/>
              <w:ind w:left="-105" w:leftChars="-50" w:right="-105" w:rightChars="-50"/>
              <w:jc w:val="center"/>
              <w:rPr>
                <w:color w:val="auto"/>
                <w:sz w:val="18"/>
                <w:szCs w:val="18"/>
              </w:rPr>
            </w:pPr>
            <w:r>
              <w:rPr>
                <w:rFonts w:hint="eastAsia"/>
                <w:color w:val="auto"/>
                <w:sz w:val="18"/>
                <w:szCs w:val="18"/>
              </w:rPr>
              <w:t>人事处</w:t>
            </w:r>
          </w:p>
        </w:tc>
        <w:tc>
          <w:tcPr>
            <w:tcW w:w="804" w:type="dxa"/>
            <w:vMerge w:val="restart"/>
            <w:tcBorders>
              <w:top w:val="single" w:color="auto" w:sz="12" w:space="0"/>
            </w:tcBorders>
            <w:tcMar>
              <w:top w:w="0" w:type="dxa"/>
              <w:left w:w="0" w:type="dxa"/>
              <w:bottom w:w="0" w:type="dxa"/>
              <w:right w:w="0" w:type="dxa"/>
            </w:tcMar>
            <w:vAlign w:val="center"/>
          </w:tcPr>
          <w:p>
            <w:pPr>
              <w:jc w:val="center"/>
              <w:rPr>
                <w:color w:val="auto"/>
                <w:sz w:val="18"/>
                <w:szCs w:val="18"/>
              </w:rPr>
            </w:pPr>
            <w:r>
              <w:rPr>
                <w:rFonts w:hint="eastAsia"/>
                <w:color w:val="auto"/>
                <w:sz w:val="18"/>
                <w:szCs w:val="18"/>
              </w:rPr>
              <w:t>各学院(部)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 w:hRule="atLeast"/>
          <w:jc w:val="center"/>
        </w:trPr>
        <w:tc>
          <w:tcPr>
            <w:tcW w:w="5127" w:type="dxa"/>
            <w:vMerge w:val="continue"/>
            <w:vAlign w:val="center"/>
          </w:tcPr>
          <w:p>
            <w:pPr>
              <w:jc w:val="left"/>
              <w:rPr>
                <w:color w:val="auto"/>
                <w:sz w:val="18"/>
                <w:szCs w:val="18"/>
              </w:rPr>
            </w:pPr>
          </w:p>
        </w:tc>
        <w:tc>
          <w:tcPr>
            <w:tcW w:w="9105" w:type="dxa"/>
            <w:gridSpan w:val="2"/>
            <w:tcBorders>
              <w:top w:val="single" w:color="auto" w:sz="4" w:space="0"/>
              <w:bottom w:val="single" w:color="auto" w:sz="12" w:space="0"/>
            </w:tcBorders>
          </w:tcPr>
          <w:p>
            <w:pPr>
              <w:rPr>
                <w:color w:val="auto"/>
                <w:sz w:val="18"/>
                <w:szCs w:val="18"/>
              </w:rPr>
            </w:pPr>
            <w:r>
              <w:rPr>
                <w:rFonts w:hint="eastAsia"/>
                <w:color w:val="auto"/>
                <w:sz w:val="18"/>
                <w:szCs w:val="18"/>
              </w:rPr>
              <w:t>培养具有学位点建设和研究生教育管理经验的干部，充实学科建设中心（研究生管理办公室）人员，制订一系列配套措施保证建设规划的顺利实施。</w:t>
            </w:r>
          </w:p>
        </w:tc>
        <w:tc>
          <w:tcPr>
            <w:tcW w:w="720" w:type="dxa"/>
            <w:vMerge w:val="continue"/>
            <w:tcBorders>
              <w:bottom w:val="single" w:color="auto" w:sz="12" w:space="0"/>
            </w:tcBorders>
            <w:vAlign w:val="center"/>
          </w:tcPr>
          <w:p>
            <w:pPr>
              <w:adjustRightInd w:val="0"/>
              <w:snapToGrid w:val="0"/>
              <w:jc w:val="center"/>
              <w:rPr>
                <w:color w:val="auto"/>
                <w:sz w:val="18"/>
                <w:szCs w:val="18"/>
              </w:rPr>
            </w:pPr>
          </w:p>
        </w:tc>
        <w:tc>
          <w:tcPr>
            <w:tcW w:w="804" w:type="dxa"/>
            <w:vMerge w:val="continue"/>
            <w:tcBorders>
              <w:bottom w:val="single" w:color="auto" w:sz="12" w:space="0"/>
            </w:tcBorders>
            <w:vAlign w:val="center"/>
          </w:tcPr>
          <w:p>
            <w:pPr>
              <w:jc w:val="cente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2" w:hRule="atLeast"/>
          <w:jc w:val="center"/>
        </w:trPr>
        <w:tc>
          <w:tcPr>
            <w:tcW w:w="5127" w:type="dxa"/>
            <w:vMerge w:val="continue"/>
          </w:tcPr>
          <w:p>
            <w:pPr>
              <w:rPr>
                <w:color w:val="auto"/>
                <w:sz w:val="18"/>
                <w:szCs w:val="18"/>
              </w:rPr>
            </w:pPr>
          </w:p>
        </w:tc>
        <w:tc>
          <w:tcPr>
            <w:tcW w:w="4545" w:type="dxa"/>
            <w:tcBorders>
              <w:top w:val="single" w:color="auto" w:sz="12" w:space="0"/>
            </w:tcBorders>
          </w:tcPr>
          <w:p>
            <w:pPr>
              <w:adjustRightInd w:val="0"/>
              <w:snapToGrid w:val="0"/>
              <w:spacing w:line="280" w:lineRule="exact"/>
              <w:rPr>
                <w:color w:val="auto"/>
                <w:sz w:val="18"/>
                <w:szCs w:val="18"/>
              </w:rPr>
            </w:pPr>
            <w:r>
              <w:rPr>
                <w:rFonts w:hint="eastAsia"/>
                <w:color w:val="auto"/>
                <w:sz w:val="18"/>
                <w:szCs w:val="18"/>
              </w:rPr>
              <w:t>1、新增1-2门国家级精品课程，获得1-2项省部级教学成果奖；</w:t>
            </w:r>
          </w:p>
          <w:p>
            <w:pPr>
              <w:adjustRightInd w:val="0"/>
              <w:snapToGrid w:val="0"/>
              <w:spacing w:line="280" w:lineRule="exact"/>
              <w:rPr>
                <w:color w:val="auto"/>
                <w:sz w:val="18"/>
                <w:szCs w:val="18"/>
              </w:rPr>
            </w:pPr>
            <w:r>
              <w:rPr>
                <w:rFonts w:hint="eastAsia"/>
                <w:color w:val="auto"/>
                <w:sz w:val="18"/>
                <w:szCs w:val="18"/>
              </w:rPr>
              <w:t>2、获批省部级及以上教学团队1-2个。</w:t>
            </w:r>
          </w:p>
          <w:p>
            <w:pPr>
              <w:adjustRightInd w:val="0"/>
              <w:snapToGrid w:val="0"/>
              <w:spacing w:line="280" w:lineRule="exact"/>
              <w:rPr>
                <w:color w:val="auto"/>
                <w:sz w:val="18"/>
                <w:szCs w:val="18"/>
              </w:rPr>
            </w:pPr>
            <w:r>
              <w:rPr>
                <w:rFonts w:hint="eastAsia"/>
                <w:color w:val="auto"/>
                <w:sz w:val="18"/>
                <w:szCs w:val="18"/>
              </w:rPr>
              <w:t>3、主编教材10-20部。</w:t>
            </w:r>
          </w:p>
          <w:p>
            <w:pPr>
              <w:rPr>
                <w:color w:val="auto"/>
                <w:sz w:val="18"/>
                <w:szCs w:val="18"/>
              </w:rPr>
            </w:pPr>
          </w:p>
        </w:tc>
        <w:tc>
          <w:tcPr>
            <w:tcW w:w="4560" w:type="dxa"/>
            <w:tcBorders>
              <w:top w:val="single" w:color="auto" w:sz="12" w:space="0"/>
            </w:tcBorders>
          </w:tcPr>
          <w:p>
            <w:pPr>
              <w:adjustRightInd w:val="0"/>
              <w:snapToGrid w:val="0"/>
              <w:spacing w:line="280" w:lineRule="exact"/>
              <w:rPr>
                <w:color w:val="auto"/>
                <w:sz w:val="18"/>
                <w:szCs w:val="18"/>
              </w:rPr>
            </w:pPr>
            <w:r>
              <w:rPr>
                <w:rFonts w:hint="eastAsia"/>
                <w:color w:val="auto"/>
                <w:sz w:val="18"/>
                <w:szCs w:val="18"/>
              </w:rPr>
              <w:t>1、新增2-3门国家级精品课程，获得2-3项省部级教学成果奖，实现国家级教学成果奖零的突破；</w:t>
            </w:r>
          </w:p>
          <w:p>
            <w:pPr>
              <w:adjustRightInd w:val="0"/>
              <w:snapToGrid w:val="0"/>
              <w:spacing w:line="280" w:lineRule="exact"/>
              <w:rPr>
                <w:color w:val="auto"/>
                <w:sz w:val="18"/>
                <w:szCs w:val="18"/>
              </w:rPr>
            </w:pPr>
            <w:r>
              <w:rPr>
                <w:rFonts w:hint="eastAsia"/>
                <w:color w:val="auto"/>
                <w:sz w:val="18"/>
                <w:szCs w:val="18"/>
              </w:rPr>
              <w:t>2、获批省部级及以上教学团队1-2个。</w:t>
            </w:r>
          </w:p>
          <w:p>
            <w:pPr>
              <w:adjustRightInd w:val="0"/>
              <w:snapToGrid w:val="0"/>
              <w:spacing w:line="280" w:lineRule="exact"/>
              <w:rPr>
                <w:color w:val="auto"/>
                <w:sz w:val="18"/>
                <w:szCs w:val="18"/>
              </w:rPr>
            </w:pPr>
            <w:r>
              <w:rPr>
                <w:rFonts w:hint="eastAsia"/>
                <w:color w:val="auto"/>
                <w:sz w:val="18"/>
                <w:szCs w:val="18"/>
              </w:rPr>
              <w:t>3、主编教材15-30部；</w:t>
            </w:r>
          </w:p>
          <w:p>
            <w:pPr>
              <w:adjustRightInd w:val="0"/>
              <w:snapToGrid w:val="0"/>
              <w:spacing w:line="280" w:lineRule="exact"/>
              <w:rPr>
                <w:color w:val="auto"/>
                <w:sz w:val="18"/>
                <w:szCs w:val="18"/>
              </w:rPr>
            </w:pPr>
            <w:r>
              <w:rPr>
                <w:rFonts w:hint="eastAsia"/>
                <w:color w:val="auto"/>
                <w:sz w:val="18"/>
                <w:szCs w:val="18"/>
              </w:rPr>
              <w:t>4、建成1个国家级实验教学示范中心。</w:t>
            </w:r>
          </w:p>
        </w:tc>
        <w:tc>
          <w:tcPr>
            <w:tcW w:w="720" w:type="dxa"/>
            <w:tcBorders>
              <w:top w:val="single" w:color="auto" w:sz="12" w:space="0"/>
            </w:tcBorders>
            <w:vAlign w:val="center"/>
          </w:tcPr>
          <w:p>
            <w:pPr>
              <w:adjustRightInd w:val="0"/>
              <w:snapToGrid w:val="0"/>
              <w:ind w:left="-132" w:leftChars="-63" w:right="-134" w:rightChars="-64"/>
              <w:jc w:val="center"/>
              <w:rPr>
                <w:color w:val="auto"/>
                <w:sz w:val="18"/>
                <w:szCs w:val="18"/>
              </w:rPr>
            </w:pPr>
            <w:r>
              <w:rPr>
                <w:rFonts w:hint="eastAsia"/>
                <w:color w:val="auto"/>
                <w:sz w:val="18"/>
                <w:szCs w:val="18"/>
              </w:rPr>
              <w:t>教务处</w:t>
            </w:r>
          </w:p>
        </w:tc>
        <w:tc>
          <w:tcPr>
            <w:tcW w:w="804" w:type="dxa"/>
            <w:tcBorders>
              <w:top w:val="single" w:color="auto" w:sz="12" w:space="0"/>
            </w:tcBorders>
            <w:vAlign w:val="center"/>
          </w:tcPr>
          <w:p>
            <w:pPr>
              <w:jc w:val="center"/>
              <w:rPr>
                <w:color w:val="auto"/>
                <w:sz w:val="18"/>
                <w:szCs w:val="18"/>
              </w:rPr>
            </w:pPr>
            <w:r>
              <w:rPr>
                <w:rFonts w:hint="eastAsia"/>
                <w:color w:val="auto"/>
                <w:sz w:val="18"/>
                <w:szCs w:val="18"/>
              </w:rPr>
              <w:t>各学院(部)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jc w:val="center"/>
        </w:trPr>
        <w:tc>
          <w:tcPr>
            <w:tcW w:w="5127" w:type="dxa"/>
            <w:vMerge w:val="continue"/>
          </w:tcPr>
          <w:p>
            <w:pPr>
              <w:rPr>
                <w:color w:val="auto"/>
                <w:sz w:val="18"/>
                <w:szCs w:val="18"/>
              </w:rPr>
            </w:pPr>
          </w:p>
        </w:tc>
        <w:tc>
          <w:tcPr>
            <w:tcW w:w="4545" w:type="dxa"/>
            <w:tcBorders>
              <w:bottom w:val="single" w:color="auto" w:sz="12" w:space="0"/>
            </w:tcBorders>
          </w:tcPr>
          <w:p>
            <w:pPr>
              <w:adjustRightInd w:val="0"/>
              <w:snapToGrid w:val="0"/>
              <w:spacing w:line="280" w:lineRule="exact"/>
              <w:rPr>
                <w:color w:val="auto"/>
                <w:sz w:val="18"/>
                <w:szCs w:val="18"/>
              </w:rPr>
            </w:pPr>
            <w:r>
              <w:rPr>
                <w:rFonts w:hint="eastAsia"/>
                <w:color w:val="auto"/>
                <w:sz w:val="18"/>
                <w:szCs w:val="18"/>
              </w:rPr>
              <w:t>1-2个专业通过中国工程教育认证。</w:t>
            </w:r>
          </w:p>
        </w:tc>
        <w:tc>
          <w:tcPr>
            <w:tcW w:w="4560" w:type="dxa"/>
            <w:tcBorders>
              <w:bottom w:val="single" w:color="auto" w:sz="12" w:space="0"/>
            </w:tcBorders>
          </w:tcPr>
          <w:p>
            <w:pPr>
              <w:rPr>
                <w:color w:val="auto"/>
                <w:sz w:val="18"/>
                <w:szCs w:val="18"/>
              </w:rPr>
            </w:pPr>
            <w:r>
              <w:rPr>
                <w:rFonts w:hint="eastAsia"/>
                <w:color w:val="auto"/>
                <w:sz w:val="18"/>
                <w:szCs w:val="18"/>
              </w:rPr>
              <w:t>2-3个专业通过中国工程教育认证。</w:t>
            </w:r>
          </w:p>
        </w:tc>
        <w:tc>
          <w:tcPr>
            <w:tcW w:w="720" w:type="dxa"/>
            <w:tcBorders>
              <w:bottom w:val="single" w:color="auto" w:sz="12" w:space="0"/>
            </w:tcBorders>
            <w:vAlign w:val="center"/>
          </w:tcPr>
          <w:p>
            <w:pPr>
              <w:adjustRightInd w:val="0"/>
              <w:snapToGrid w:val="0"/>
              <w:ind w:left="-105" w:leftChars="-50" w:right="-105" w:rightChars="-50"/>
              <w:jc w:val="center"/>
              <w:rPr>
                <w:color w:val="auto"/>
                <w:sz w:val="18"/>
                <w:szCs w:val="18"/>
              </w:rPr>
            </w:pPr>
            <w:r>
              <w:rPr>
                <w:rFonts w:hint="eastAsia"/>
                <w:color w:val="auto"/>
                <w:sz w:val="18"/>
                <w:szCs w:val="18"/>
              </w:rPr>
              <w:t>教评处</w:t>
            </w:r>
          </w:p>
        </w:tc>
        <w:tc>
          <w:tcPr>
            <w:tcW w:w="804" w:type="dxa"/>
            <w:tcBorders>
              <w:bottom w:val="single" w:color="auto" w:sz="12" w:space="0"/>
            </w:tcBorders>
            <w:vAlign w:val="center"/>
          </w:tcPr>
          <w:p>
            <w:pPr>
              <w:adjustRightInd w:val="0"/>
              <w:snapToGrid w:val="0"/>
              <w:jc w:val="center"/>
              <w:rPr>
                <w:color w:val="auto"/>
                <w:sz w:val="18"/>
                <w:szCs w:val="18"/>
              </w:rPr>
            </w:pPr>
            <w:r>
              <w:rPr>
                <w:rFonts w:hint="eastAsia"/>
                <w:color w:val="auto"/>
                <w:sz w:val="18"/>
                <w:szCs w:val="18"/>
              </w:rPr>
              <w:t>各学院(部)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5127" w:type="dxa"/>
            <w:vMerge w:val="continue"/>
          </w:tcPr>
          <w:p>
            <w:pPr>
              <w:rPr>
                <w:color w:val="auto"/>
                <w:sz w:val="18"/>
                <w:szCs w:val="18"/>
              </w:rPr>
            </w:pPr>
          </w:p>
        </w:tc>
        <w:tc>
          <w:tcPr>
            <w:tcW w:w="4545" w:type="dxa"/>
            <w:tcBorders>
              <w:top w:val="single" w:color="auto" w:sz="12" w:space="0"/>
            </w:tcBorders>
          </w:tcPr>
          <w:p>
            <w:pPr>
              <w:adjustRightInd w:val="0"/>
              <w:snapToGrid w:val="0"/>
              <w:spacing w:line="280" w:lineRule="exact"/>
              <w:rPr>
                <w:color w:val="auto"/>
                <w:sz w:val="18"/>
                <w:szCs w:val="18"/>
              </w:rPr>
            </w:pPr>
            <w:r>
              <w:rPr>
                <w:rFonts w:hint="eastAsia"/>
                <w:color w:val="auto"/>
                <w:sz w:val="18"/>
                <w:szCs w:val="18"/>
              </w:rPr>
              <w:t>1、校内兼职博导、硕导人数不低于50人；</w:t>
            </w:r>
          </w:p>
          <w:p>
            <w:pPr>
              <w:adjustRightInd w:val="0"/>
              <w:snapToGrid w:val="0"/>
              <w:spacing w:line="280" w:lineRule="exact"/>
              <w:rPr>
                <w:color w:val="auto"/>
                <w:sz w:val="18"/>
                <w:szCs w:val="18"/>
              </w:rPr>
            </w:pPr>
            <w:r>
              <w:rPr>
                <w:rFonts w:hint="eastAsia"/>
                <w:color w:val="auto"/>
                <w:sz w:val="18"/>
                <w:szCs w:val="18"/>
              </w:rPr>
              <w:t>2、获批湖南省重点实验室1-2个；</w:t>
            </w:r>
          </w:p>
          <w:p>
            <w:pPr>
              <w:adjustRightInd w:val="0"/>
              <w:snapToGrid w:val="0"/>
              <w:spacing w:line="280" w:lineRule="exact"/>
              <w:rPr>
                <w:color w:val="auto"/>
                <w:sz w:val="18"/>
                <w:szCs w:val="18"/>
              </w:rPr>
            </w:pPr>
            <w:r>
              <w:rPr>
                <w:rFonts w:hint="eastAsia"/>
                <w:color w:val="auto"/>
                <w:sz w:val="18"/>
                <w:szCs w:val="18"/>
              </w:rPr>
              <w:t>3、获批湖南省特色应用学科1-2个；</w:t>
            </w:r>
          </w:p>
          <w:p>
            <w:pPr>
              <w:adjustRightInd w:val="0"/>
              <w:snapToGrid w:val="0"/>
              <w:spacing w:line="280" w:lineRule="exact"/>
              <w:rPr>
                <w:color w:val="auto"/>
                <w:sz w:val="18"/>
                <w:szCs w:val="18"/>
              </w:rPr>
            </w:pPr>
            <w:r>
              <w:rPr>
                <w:rFonts w:hint="eastAsia"/>
                <w:color w:val="auto"/>
                <w:sz w:val="18"/>
                <w:szCs w:val="18"/>
              </w:rPr>
              <w:t>4、获批省部级科技创新团队1-2个。</w:t>
            </w:r>
          </w:p>
        </w:tc>
        <w:tc>
          <w:tcPr>
            <w:tcW w:w="4560" w:type="dxa"/>
            <w:tcBorders>
              <w:top w:val="single" w:color="auto" w:sz="12" w:space="0"/>
            </w:tcBorders>
          </w:tcPr>
          <w:p>
            <w:pPr>
              <w:adjustRightInd w:val="0"/>
              <w:snapToGrid w:val="0"/>
              <w:spacing w:line="280" w:lineRule="exact"/>
              <w:rPr>
                <w:color w:val="auto"/>
                <w:sz w:val="18"/>
                <w:szCs w:val="18"/>
              </w:rPr>
            </w:pPr>
            <w:r>
              <w:rPr>
                <w:rFonts w:hint="eastAsia"/>
                <w:color w:val="auto"/>
                <w:sz w:val="18"/>
                <w:szCs w:val="18"/>
              </w:rPr>
              <w:t>1、校内兼职博导、硕导人数不低于60人；</w:t>
            </w:r>
          </w:p>
          <w:p>
            <w:pPr>
              <w:adjustRightInd w:val="0"/>
              <w:snapToGrid w:val="0"/>
              <w:spacing w:line="280" w:lineRule="exact"/>
              <w:rPr>
                <w:color w:val="auto"/>
                <w:sz w:val="18"/>
                <w:szCs w:val="18"/>
              </w:rPr>
            </w:pPr>
            <w:r>
              <w:rPr>
                <w:rFonts w:hint="eastAsia"/>
                <w:color w:val="auto"/>
                <w:sz w:val="18"/>
                <w:szCs w:val="18"/>
              </w:rPr>
              <w:t>2、获批国家企业技术中心或国家工程实验室1-2个；</w:t>
            </w:r>
          </w:p>
          <w:p>
            <w:pPr>
              <w:adjustRightInd w:val="0"/>
              <w:snapToGrid w:val="0"/>
              <w:spacing w:line="280" w:lineRule="exact"/>
              <w:rPr>
                <w:color w:val="auto"/>
                <w:sz w:val="18"/>
                <w:szCs w:val="18"/>
              </w:rPr>
            </w:pPr>
            <w:r>
              <w:rPr>
                <w:rFonts w:hint="eastAsia"/>
                <w:color w:val="auto"/>
                <w:sz w:val="18"/>
                <w:szCs w:val="18"/>
              </w:rPr>
              <w:t>3、获批湖南省特色应用学科1-2个；</w:t>
            </w:r>
          </w:p>
          <w:p>
            <w:pPr>
              <w:adjustRightInd w:val="0"/>
              <w:snapToGrid w:val="0"/>
              <w:spacing w:line="280" w:lineRule="exact"/>
              <w:rPr>
                <w:color w:val="auto"/>
                <w:sz w:val="18"/>
                <w:szCs w:val="18"/>
              </w:rPr>
            </w:pPr>
            <w:r>
              <w:rPr>
                <w:rFonts w:hint="eastAsia"/>
                <w:color w:val="auto"/>
                <w:sz w:val="18"/>
                <w:szCs w:val="18"/>
              </w:rPr>
              <w:t>4、获批省部级科技创新团队1-2个。</w:t>
            </w:r>
          </w:p>
        </w:tc>
        <w:tc>
          <w:tcPr>
            <w:tcW w:w="720" w:type="dxa"/>
            <w:vMerge w:val="restart"/>
            <w:tcBorders>
              <w:top w:val="single" w:color="auto" w:sz="12" w:space="0"/>
            </w:tcBorders>
            <w:vAlign w:val="center"/>
          </w:tcPr>
          <w:p>
            <w:pPr>
              <w:adjustRightInd w:val="0"/>
              <w:snapToGrid w:val="0"/>
              <w:ind w:left="-105" w:leftChars="-50" w:right="-105" w:rightChars="-50"/>
              <w:jc w:val="center"/>
              <w:rPr>
                <w:color w:val="auto"/>
                <w:sz w:val="18"/>
                <w:szCs w:val="18"/>
              </w:rPr>
            </w:pPr>
            <w:r>
              <w:rPr>
                <w:rFonts w:hint="eastAsia"/>
                <w:color w:val="auto"/>
                <w:sz w:val="18"/>
                <w:szCs w:val="18"/>
              </w:rPr>
              <w:t>学科建设中心</w:t>
            </w:r>
          </w:p>
        </w:tc>
        <w:tc>
          <w:tcPr>
            <w:tcW w:w="804" w:type="dxa"/>
            <w:vMerge w:val="restart"/>
            <w:tcBorders>
              <w:top w:val="single" w:color="auto" w:sz="12" w:space="0"/>
            </w:tcBorders>
            <w:vAlign w:val="center"/>
          </w:tcPr>
          <w:p>
            <w:pPr>
              <w:jc w:val="center"/>
              <w:rPr>
                <w:color w:val="auto"/>
                <w:sz w:val="18"/>
                <w:szCs w:val="18"/>
              </w:rPr>
            </w:pPr>
            <w:r>
              <w:rPr>
                <w:rFonts w:hint="eastAsia"/>
                <w:color w:val="auto"/>
                <w:sz w:val="18"/>
                <w:szCs w:val="18"/>
              </w:rPr>
              <w:t>各学院(部)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5127" w:type="dxa"/>
            <w:vMerge w:val="continue"/>
          </w:tcPr>
          <w:p>
            <w:pPr>
              <w:rPr>
                <w:color w:val="auto"/>
                <w:sz w:val="18"/>
                <w:szCs w:val="18"/>
              </w:rPr>
            </w:pPr>
          </w:p>
        </w:tc>
        <w:tc>
          <w:tcPr>
            <w:tcW w:w="9105" w:type="dxa"/>
            <w:gridSpan w:val="2"/>
            <w:tcBorders>
              <w:bottom w:val="single" w:color="auto" w:sz="12" w:space="0"/>
            </w:tcBorders>
          </w:tcPr>
          <w:p>
            <w:pPr>
              <w:adjustRightInd w:val="0"/>
              <w:snapToGrid w:val="0"/>
              <w:spacing w:line="280" w:lineRule="exact"/>
              <w:rPr>
                <w:color w:val="auto"/>
                <w:sz w:val="18"/>
                <w:szCs w:val="18"/>
              </w:rPr>
            </w:pPr>
            <w:r>
              <w:rPr>
                <w:rFonts w:hint="eastAsia"/>
                <w:color w:val="auto"/>
                <w:sz w:val="18"/>
                <w:szCs w:val="18"/>
              </w:rPr>
              <w:t>1、培育2-3个省级重点实验室或国家工程实验室；</w:t>
            </w:r>
          </w:p>
          <w:p>
            <w:pPr>
              <w:adjustRightInd w:val="0"/>
              <w:snapToGrid w:val="0"/>
              <w:spacing w:line="280" w:lineRule="exact"/>
              <w:rPr>
                <w:color w:val="auto"/>
                <w:sz w:val="18"/>
                <w:szCs w:val="18"/>
              </w:rPr>
            </w:pPr>
            <w:r>
              <w:rPr>
                <w:rFonts w:hint="eastAsia"/>
                <w:color w:val="auto"/>
                <w:sz w:val="18"/>
                <w:szCs w:val="18"/>
              </w:rPr>
              <w:t>2、制订完善的研究生奖助制度及公共服务体系；</w:t>
            </w:r>
          </w:p>
          <w:p>
            <w:pPr>
              <w:adjustRightInd w:val="0"/>
              <w:snapToGrid w:val="0"/>
              <w:spacing w:line="280" w:lineRule="exact"/>
              <w:rPr>
                <w:color w:val="auto"/>
                <w:sz w:val="18"/>
                <w:szCs w:val="18"/>
              </w:rPr>
            </w:pPr>
            <w:r>
              <w:rPr>
                <w:rFonts w:hint="eastAsia"/>
                <w:color w:val="auto"/>
                <w:sz w:val="18"/>
                <w:szCs w:val="18"/>
              </w:rPr>
              <w:t>3、制订研究生培养方案；</w:t>
            </w:r>
          </w:p>
          <w:p>
            <w:pPr>
              <w:adjustRightInd w:val="0"/>
              <w:snapToGrid w:val="0"/>
              <w:spacing w:line="280" w:lineRule="exact"/>
              <w:rPr>
                <w:color w:val="auto"/>
                <w:sz w:val="18"/>
                <w:szCs w:val="18"/>
              </w:rPr>
            </w:pPr>
            <w:r>
              <w:rPr>
                <w:rFonts w:hint="eastAsia"/>
                <w:color w:val="auto"/>
                <w:sz w:val="18"/>
                <w:szCs w:val="18"/>
              </w:rPr>
              <w:t>4、优化学科布局，主动对接我省相关领域重大建设项目。</w:t>
            </w:r>
          </w:p>
        </w:tc>
        <w:tc>
          <w:tcPr>
            <w:tcW w:w="720" w:type="dxa"/>
            <w:vMerge w:val="continue"/>
            <w:tcBorders>
              <w:bottom w:val="single" w:color="auto" w:sz="12" w:space="0"/>
            </w:tcBorders>
            <w:vAlign w:val="center"/>
          </w:tcPr>
          <w:p>
            <w:pPr>
              <w:adjustRightInd w:val="0"/>
              <w:snapToGrid w:val="0"/>
              <w:jc w:val="center"/>
              <w:rPr>
                <w:color w:val="auto"/>
                <w:sz w:val="18"/>
                <w:szCs w:val="18"/>
              </w:rPr>
            </w:pPr>
          </w:p>
        </w:tc>
        <w:tc>
          <w:tcPr>
            <w:tcW w:w="804" w:type="dxa"/>
            <w:vMerge w:val="continue"/>
            <w:tcBorders>
              <w:bottom w:val="single" w:color="auto" w:sz="12" w:space="0"/>
            </w:tcBorders>
            <w:vAlign w:val="center"/>
          </w:tcPr>
          <w:p>
            <w:pPr>
              <w:jc w:val="cente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9" w:hRule="atLeast"/>
          <w:jc w:val="center"/>
        </w:trPr>
        <w:tc>
          <w:tcPr>
            <w:tcW w:w="5127" w:type="dxa"/>
            <w:vMerge w:val="continue"/>
          </w:tcPr>
          <w:p>
            <w:pPr>
              <w:rPr>
                <w:color w:val="auto"/>
                <w:sz w:val="18"/>
                <w:szCs w:val="18"/>
              </w:rPr>
            </w:pPr>
          </w:p>
        </w:tc>
        <w:tc>
          <w:tcPr>
            <w:tcW w:w="4545" w:type="dxa"/>
            <w:tcBorders>
              <w:top w:val="single" w:color="auto" w:sz="12" w:space="0"/>
            </w:tcBorders>
          </w:tcPr>
          <w:p>
            <w:pPr>
              <w:adjustRightInd w:val="0"/>
              <w:snapToGrid w:val="0"/>
              <w:spacing w:line="280" w:lineRule="exact"/>
              <w:rPr>
                <w:color w:val="auto"/>
                <w:sz w:val="18"/>
                <w:szCs w:val="18"/>
              </w:rPr>
            </w:pPr>
            <w:r>
              <w:rPr>
                <w:rFonts w:hint="eastAsia"/>
                <w:color w:val="auto"/>
                <w:sz w:val="18"/>
                <w:szCs w:val="18"/>
              </w:rPr>
              <w:t>1、承担省部级及以上级别纵向科研项目150项以上，总经费不低于6000万元，师均年科研经费不低于2万元；</w:t>
            </w:r>
          </w:p>
          <w:p>
            <w:pPr>
              <w:adjustRightInd w:val="0"/>
              <w:snapToGrid w:val="0"/>
              <w:spacing w:line="280" w:lineRule="exact"/>
              <w:rPr>
                <w:color w:val="auto"/>
                <w:sz w:val="18"/>
                <w:szCs w:val="18"/>
              </w:rPr>
            </w:pPr>
            <w:r>
              <w:rPr>
                <w:rFonts w:hint="eastAsia"/>
                <w:color w:val="auto"/>
                <w:sz w:val="18"/>
                <w:szCs w:val="18"/>
              </w:rPr>
              <w:t>2、出版专著10-20部；</w:t>
            </w:r>
          </w:p>
          <w:p>
            <w:pPr>
              <w:adjustRightInd w:val="0"/>
              <w:snapToGrid w:val="0"/>
              <w:spacing w:line="280" w:lineRule="exact"/>
              <w:rPr>
                <w:color w:val="auto"/>
                <w:sz w:val="18"/>
                <w:szCs w:val="18"/>
              </w:rPr>
            </w:pPr>
            <w:r>
              <w:rPr>
                <w:rFonts w:hint="eastAsia"/>
                <w:color w:val="auto"/>
                <w:sz w:val="18"/>
                <w:szCs w:val="18"/>
              </w:rPr>
              <w:t>3、EI、SCI、SSCI检索论文不少于200篇；</w:t>
            </w:r>
          </w:p>
          <w:p>
            <w:pPr>
              <w:adjustRightInd w:val="0"/>
              <w:snapToGrid w:val="0"/>
              <w:spacing w:line="280" w:lineRule="exact"/>
              <w:rPr>
                <w:color w:val="auto"/>
                <w:sz w:val="18"/>
                <w:szCs w:val="18"/>
              </w:rPr>
            </w:pPr>
            <w:r>
              <w:rPr>
                <w:rFonts w:hint="eastAsia"/>
                <w:color w:val="auto"/>
                <w:sz w:val="18"/>
                <w:szCs w:val="18"/>
              </w:rPr>
              <w:t>4、获各类省部级及以上科研奖励不少于5项；</w:t>
            </w:r>
          </w:p>
          <w:p>
            <w:pPr>
              <w:adjustRightInd w:val="0"/>
              <w:snapToGrid w:val="0"/>
              <w:spacing w:line="280" w:lineRule="exact"/>
              <w:rPr>
                <w:color w:val="auto"/>
                <w:sz w:val="18"/>
                <w:szCs w:val="18"/>
              </w:rPr>
            </w:pPr>
            <w:r>
              <w:rPr>
                <w:rFonts w:hint="eastAsia"/>
                <w:color w:val="auto"/>
                <w:sz w:val="18"/>
                <w:szCs w:val="18"/>
              </w:rPr>
              <w:t>5、科技成果转化产值达到2亿元。</w:t>
            </w:r>
          </w:p>
        </w:tc>
        <w:tc>
          <w:tcPr>
            <w:tcW w:w="4560" w:type="dxa"/>
            <w:tcBorders>
              <w:top w:val="single" w:color="auto" w:sz="12" w:space="0"/>
              <w:bottom w:val="single" w:color="auto" w:sz="12" w:space="0"/>
            </w:tcBorders>
          </w:tcPr>
          <w:p>
            <w:pPr>
              <w:adjustRightInd w:val="0"/>
              <w:snapToGrid w:val="0"/>
              <w:spacing w:line="280" w:lineRule="exact"/>
              <w:rPr>
                <w:color w:val="auto"/>
                <w:sz w:val="18"/>
                <w:szCs w:val="18"/>
              </w:rPr>
            </w:pPr>
            <w:r>
              <w:rPr>
                <w:rFonts w:hint="eastAsia"/>
                <w:color w:val="auto"/>
                <w:sz w:val="18"/>
                <w:szCs w:val="18"/>
              </w:rPr>
              <w:t>1、承担省部级及以上级别纵向科研项目200项以上，总经费不低于1.2亿元，师均年科研经费不低于4万元；</w:t>
            </w:r>
          </w:p>
          <w:p>
            <w:pPr>
              <w:adjustRightInd w:val="0"/>
              <w:snapToGrid w:val="0"/>
              <w:spacing w:line="280" w:lineRule="exact"/>
              <w:rPr>
                <w:color w:val="auto"/>
                <w:sz w:val="18"/>
                <w:szCs w:val="18"/>
              </w:rPr>
            </w:pPr>
            <w:r>
              <w:rPr>
                <w:rFonts w:hint="eastAsia"/>
                <w:color w:val="auto"/>
                <w:sz w:val="18"/>
                <w:szCs w:val="18"/>
              </w:rPr>
              <w:t>2、出版专著15-30部；</w:t>
            </w:r>
          </w:p>
          <w:p>
            <w:pPr>
              <w:adjustRightInd w:val="0"/>
              <w:snapToGrid w:val="0"/>
              <w:spacing w:line="280" w:lineRule="exact"/>
              <w:rPr>
                <w:color w:val="auto"/>
                <w:sz w:val="18"/>
                <w:szCs w:val="18"/>
              </w:rPr>
            </w:pPr>
            <w:r>
              <w:rPr>
                <w:rFonts w:hint="eastAsia"/>
                <w:color w:val="auto"/>
                <w:sz w:val="18"/>
                <w:szCs w:val="18"/>
              </w:rPr>
              <w:t>3、EI、SCI、SSCI检索论文不少于200篇；</w:t>
            </w:r>
          </w:p>
          <w:p>
            <w:pPr>
              <w:adjustRightInd w:val="0"/>
              <w:snapToGrid w:val="0"/>
              <w:spacing w:line="280" w:lineRule="exact"/>
              <w:rPr>
                <w:color w:val="auto"/>
                <w:sz w:val="18"/>
                <w:szCs w:val="18"/>
              </w:rPr>
            </w:pPr>
            <w:r>
              <w:rPr>
                <w:rFonts w:hint="eastAsia"/>
                <w:color w:val="auto"/>
                <w:sz w:val="18"/>
                <w:szCs w:val="18"/>
              </w:rPr>
              <w:t>4、获各类省部级及以上科研奖励不少于5项，力争国家级奖励零的突破；</w:t>
            </w:r>
          </w:p>
          <w:p>
            <w:pPr>
              <w:adjustRightInd w:val="0"/>
              <w:snapToGrid w:val="0"/>
              <w:spacing w:line="280" w:lineRule="exact"/>
              <w:rPr>
                <w:color w:val="auto"/>
                <w:sz w:val="18"/>
                <w:szCs w:val="18"/>
              </w:rPr>
            </w:pPr>
            <w:r>
              <w:rPr>
                <w:rFonts w:hint="eastAsia"/>
                <w:color w:val="auto"/>
                <w:sz w:val="18"/>
                <w:szCs w:val="18"/>
              </w:rPr>
              <w:t>5、科技成果转化产值达到4亿元。</w:t>
            </w:r>
          </w:p>
        </w:tc>
        <w:tc>
          <w:tcPr>
            <w:tcW w:w="720" w:type="dxa"/>
            <w:tcBorders>
              <w:top w:val="single" w:color="auto" w:sz="12" w:space="0"/>
            </w:tcBorders>
            <w:vAlign w:val="center"/>
          </w:tcPr>
          <w:p>
            <w:pPr>
              <w:adjustRightInd w:val="0"/>
              <w:snapToGrid w:val="0"/>
              <w:ind w:left="-105" w:leftChars="-50" w:right="-105" w:rightChars="-50"/>
              <w:jc w:val="center"/>
              <w:rPr>
                <w:color w:val="auto"/>
                <w:sz w:val="18"/>
                <w:szCs w:val="18"/>
              </w:rPr>
            </w:pPr>
            <w:r>
              <w:rPr>
                <w:rFonts w:hint="eastAsia"/>
                <w:color w:val="auto"/>
                <w:sz w:val="18"/>
                <w:szCs w:val="18"/>
              </w:rPr>
              <w:t>科技处</w:t>
            </w:r>
          </w:p>
        </w:tc>
        <w:tc>
          <w:tcPr>
            <w:tcW w:w="804" w:type="dxa"/>
            <w:tcBorders>
              <w:top w:val="single" w:color="auto" w:sz="12" w:space="0"/>
            </w:tcBorders>
            <w:vAlign w:val="center"/>
          </w:tcPr>
          <w:p>
            <w:pPr>
              <w:jc w:val="center"/>
              <w:rPr>
                <w:color w:val="auto"/>
                <w:sz w:val="18"/>
                <w:szCs w:val="18"/>
              </w:rPr>
            </w:pPr>
            <w:r>
              <w:rPr>
                <w:rFonts w:hint="eastAsia"/>
                <w:color w:val="auto"/>
                <w:sz w:val="18"/>
                <w:szCs w:val="18"/>
              </w:rPr>
              <w:t>各学院(部)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27" w:type="dxa"/>
            <w:vMerge w:val="continue"/>
          </w:tcPr>
          <w:p>
            <w:pPr>
              <w:rPr>
                <w:color w:val="auto"/>
                <w:sz w:val="18"/>
                <w:szCs w:val="18"/>
              </w:rPr>
            </w:pPr>
          </w:p>
        </w:tc>
        <w:tc>
          <w:tcPr>
            <w:tcW w:w="4545" w:type="dxa"/>
            <w:tcBorders>
              <w:top w:val="single" w:color="auto" w:sz="12" w:space="0"/>
              <w:bottom w:val="single" w:color="auto" w:sz="12" w:space="0"/>
            </w:tcBorders>
          </w:tcPr>
          <w:p>
            <w:pPr>
              <w:rPr>
                <w:color w:val="auto"/>
                <w:sz w:val="18"/>
                <w:szCs w:val="18"/>
              </w:rPr>
            </w:pPr>
            <w:r>
              <w:rPr>
                <w:rFonts w:hint="eastAsia"/>
                <w:color w:val="auto"/>
                <w:sz w:val="18"/>
                <w:szCs w:val="18"/>
              </w:rPr>
              <w:t>1、加强学术交流，出台政策鼓励教师参加国际交流及高层次学术会议，不少于9人次；</w:t>
            </w:r>
          </w:p>
          <w:p>
            <w:pPr>
              <w:rPr>
                <w:color w:val="auto"/>
                <w:sz w:val="18"/>
                <w:szCs w:val="18"/>
              </w:rPr>
            </w:pPr>
            <w:r>
              <w:rPr>
                <w:rFonts w:hint="eastAsia"/>
                <w:b w:val="0"/>
                <w:bCs w:val="0"/>
                <w:color w:val="auto"/>
                <w:sz w:val="18"/>
                <w:szCs w:val="18"/>
              </w:rPr>
              <w:t>2、确保境外学生来我校学习及我校学生赴境外交流访问人数有所增加。</w:t>
            </w:r>
          </w:p>
        </w:tc>
        <w:tc>
          <w:tcPr>
            <w:tcW w:w="4560" w:type="dxa"/>
            <w:tcBorders>
              <w:top w:val="single" w:color="auto" w:sz="12" w:space="0"/>
              <w:bottom w:val="single" w:color="auto" w:sz="12" w:space="0"/>
            </w:tcBorders>
          </w:tcPr>
          <w:p>
            <w:pPr>
              <w:rPr>
                <w:color w:val="auto"/>
                <w:sz w:val="18"/>
                <w:szCs w:val="18"/>
              </w:rPr>
            </w:pPr>
            <w:r>
              <w:rPr>
                <w:rFonts w:hint="eastAsia"/>
                <w:color w:val="auto"/>
                <w:sz w:val="18"/>
                <w:szCs w:val="18"/>
              </w:rPr>
              <w:t>1、加强学术交流，出台政策鼓励教师参加国际交流及高层次学术会议，不少于9人次；</w:t>
            </w:r>
          </w:p>
          <w:p>
            <w:pPr>
              <w:rPr>
                <w:b/>
                <w:bCs/>
                <w:color w:val="auto"/>
                <w:sz w:val="18"/>
                <w:szCs w:val="18"/>
              </w:rPr>
            </w:pPr>
            <w:r>
              <w:rPr>
                <w:rFonts w:hint="eastAsia"/>
                <w:b w:val="0"/>
                <w:bCs w:val="0"/>
                <w:color w:val="auto"/>
                <w:sz w:val="18"/>
                <w:szCs w:val="18"/>
              </w:rPr>
              <w:t>2、确保境外学生来我校学习及我校学生赴境外交流访问人数有所增加。</w:t>
            </w:r>
          </w:p>
        </w:tc>
        <w:tc>
          <w:tcPr>
            <w:tcW w:w="720" w:type="dxa"/>
            <w:tcBorders>
              <w:top w:val="single" w:color="auto" w:sz="12" w:space="0"/>
              <w:bottom w:val="single" w:color="auto" w:sz="12" w:space="0"/>
            </w:tcBorders>
            <w:vAlign w:val="center"/>
          </w:tcPr>
          <w:p>
            <w:pPr>
              <w:adjustRightInd w:val="0"/>
              <w:snapToGrid w:val="0"/>
              <w:ind w:left="-105" w:leftChars="-50" w:right="-105" w:rightChars="-50"/>
              <w:jc w:val="center"/>
              <w:rPr>
                <w:color w:val="auto"/>
                <w:sz w:val="18"/>
                <w:szCs w:val="18"/>
              </w:rPr>
            </w:pPr>
            <w:r>
              <w:rPr>
                <w:rFonts w:hint="eastAsia"/>
                <w:color w:val="auto"/>
                <w:sz w:val="18"/>
                <w:szCs w:val="18"/>
              </w:rPr>
              <w:t>国交处</w:t>
            </w:r>
          </w:p>
        </w:tc>
        <w:tc>
          <w:tcPr>
            <w:tcW w:w="804" w:type="dxa"/>
            <w:tcBorders>
              <w:top w:val="single" w:color="auto" w:sz="12" w:space="0"/>
              <w:bottom w:val="single" w:color="auto" w:sz="12" w:space="0"/>
            </w:tcBorders>
            <w:vAlign w:val="center"/>
          </w:tcPr>
          <w:p>
            <w:pPr>
              <w:adjustRightInd w:val="0"/>
              <w:snapToGrid w:val="0"/>
              <w:jc w:val="center"/>
              <w:rPr>
                <w:color w:val="auto"/>
                <w:sz w:val="18"/>
                <w:szCs w:val="18"/>
              </w:rPr>
            </w:pPr>
            <w:r>
              <w:rPr>
                <w:rFonts w:hint="eastAsia"/>
                <w:color w:val="auto"/>
                <w:sz w:val="18"/>
                <w:szCs w:val="18"/>
              </w:rPr>
              <w:t>各学院(部)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27" w:type="dxa"/>
            <w:vMerge w:val="continue"/>
          </w:tcPr>
          <w:p>
            <w:pPr>
              <w:rPr>
                <w:color w:val="auto"/>
                <w:sz w:val="18"/>
                <w:szCs w:val="18"/>
              </w:rPr>
            </w:pPr>
          </w:p>
        </w:tc>
        <w:tc>
          <w:tcPr>
            <w:tcW w:w="9105" w:type="dxa"/>
            <w:gridSpan w:val="2"/>
            <w:tcBorders>
              <w:top w:val="single" w:color="auto" w:sz="12" w:space="0"/>
              <w:bottom w:val="single" w:color="auto" w:sz="12" w:space="0"/>
            </w:tcBorders>
          </w:tcPr>
          <w:p>
            <w:pPr>
              <w:adjustRightInd w:val="0"/>
              <w:snapToGrid w:val="0"/>
              <w:spacing w:line="280" w:lineRule="exact"/>
              <w:rPr>
                <w:color w:val="auto"/>
                <w:sz w:val="18"/>
                <w:szCs w:val="18"/>
              </w:rPr>
            </w:pPr>
            <w:r>
              <w:rPr>
                <w:rFonts w:hint="eastAsia"/>
                <w:color w:val="auto"/>
                <w:sz w:val="18"/>
                <w:szCs w:val="18"/>
              </w:rPr>
              <w:t>1、提高授权学科、支撑学科和特色专业的学术文献收藏比重，逐步加大数字资源的收藏力度，增加国内外重要数据库种类，建立本校特色馆藏数据库；</w:t>
            </w:r>
          </w:p>
          <w:p>
            <w:pPr>
              <w:adjustRightInd w:val="0"/>
              <w:snapToGrid w:val="0"/>
              <w:spacing w:line="280" w:lineRule="exact"/>
              <w:rPr>
                <w:color w:val="auto"/>
                <w:sz w:val="18"/>
                <w:szCs w:val="18"/>
              </w:rPr>
            </w:pPr>
            <w:r>
              <w:rPr>
                <w:rFonts w:hint="eastAsia"/>
                <w:color w:val="auto"/>
                <w:sz w:val="18"/>
                <w:szCs w:val="18"/>
              </w:rPr>
              <w:t>2、生均纸质图书达到92册。</w:t>
            </w:r>
          </w:p>
        </w:tc>
        <w:tc>
          <w:tcPr>
            <w:tcW w:w="720" w:type="dxa"/>
            <w:tcBorders>
              <w:top w:val="single" w:color="auto" w:sz="12" w:space="0"/>
              <w:bottom w:val="single" w:color="auto" w:sz="12" w:space="0"/>
            </w:tcBorders>
            <w:vAlign w:val="center"/>
          </w:tcPr>
          <w:p>
            <w:pPr>
              <w:adjustRightInd w:val="0"/>
              <w:snapToGrid w:val="0"/>
              <w:ind w:left="-105" w:leftChars="-50" w:right="-105" w:rightChars="-50"/>
              <w:jc w:val="center"/>
              <w:rPr>
                <w:color w:val="auto"/>
                <w:sz w:val="18"/>
                <w:szCs w:val="18"/>
              </w:rPr>
            </w:pPr>
            <w:r>
              <w:rPr>
                <w:rFonts w:hint="eastAsia"/>
                <w:color w:val="auto"/>
                <w:sz w:val="18"/>
                <w:szCs w:val="18"/>
              </w:rPr>
              <w:t>图书馆</w:t>
            </w:r>
          </w:p>
        </w:tc>
        <w:tc>
          <w:tcPr>
            <w:tcW w:w="804" w:type="dxa"/>
            <w:tcBorders>
              <w:top w:val="single" w:color="auto" w:sz="12" w:space="0"/>
              <w:bottom w:val="single" w:color="auto" w:sz="12" w:space="0"/>
            </w:tcBorders>
            <w:vAlign w:val="center"/>
          </w:tcPr>
          <w:p>
            <w:pPr>
              <w:jc w:val="cente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27" w:type="dxa"/>
            <w:vMerge w:val="continue"/>
          </w:tcPr>
          <w:p>
            <w:pPr>
              <w:rPr>
                <w:color w:val="auto"/>
                <w:sz w:val="18"/>
                <w:szCs w:val="18"/>
              </w:rPr>
            </w:pPr>
          </w:p>
        </w:tc>
        <w:tc>
          <w:tcPr>
            <w:tcW w:w="9105" w:type="dxa"/>
            <w:gridSpan w:val="2"/>
            <w:tcBorders>
              <w:top w:val="single" w:color="auto" w:sz="12" w:space="0"/>
              <w:bottom w:val="single" w:color="auto" w:sz="12" w:space="0"/>
            </w:tcBorders>
          </w:tcPr>
          <w:p>
            <w:pPr>
              <w:adjustRightInd w:val="0"/>
              <w:snapToGrid w:val="0"/>
              <w:spacing w:line="280" w:lineRule="exact"/>
              <w:rPr>
                <w:color w:val="auto"/>
                <w:sz w:val="18"/>
                <w:szCs w:val="18"/>
              </w:rPr>
            </w:pPr>
            <w:r>
              <w:rPr>
                <w:rFonts w:hint="eastAsia"/>
                <w:color w:val="auto"/>
                <w:sz w:val="18"/>
                <w:szCs w:val="18"/>
              </w:rPr>
              <w:t>1、加快电子公共平台建设，完成校园“一卡通”建设；</w:t>
            </w:r>
          </w:p>
          <w:p>
            <w:pPr>
              <w:adjustRightInd w:val="0"/>
              <w:snapToGrid w:val="0"/>
              <w:spacing w:line="280" w:lineRule="exact"/>
              <w:rPr>
                <w:color w:val="auto"/>
                <w:sz w:val="18"/>
                <w:szCs w:val="18"/>
              </w:rPr>
            </w:pPr>
            <w:r>
              <w:rPr>
                <w:rFonts w:hint="eastAsia"/>
                <w:color w:val="auto"/>
                <w:sz w:val="18"/>
                <w:szCs w:val="18"/>
              </w:rPr>
              <w:t>2、校园出口总带宽达到19GB，初步达成“智慧湖工”目标。</w:t>
            </w:r>
          </w:p>
        </w:tc>
        <w:tc>
          <w:tcPr>
            <w:tcW w:w="720" w:type="dxa"/>
            <w:tcBorders>
              <w:top w:val="single" w:color="auto" w:sz="12" w:space="0"/>
              <w:bottom w:val="single" w:color="auto" w:sz="12" w:space="0"/>
            </w:tcBorders>
            <w:vAlign w:val="center"/>
          </w:tcPr>
          <w:p>
            <w:pPr>
              <w:adjustRightInd w:val="0"/>
              <w:snapToGrid w:val="0"/>
              <w:ind w:left="-105" w:leftChars="-50" w:right="-105" w:rightChars="-50"/>
              <w:jc w:val="center"/>
              <w:rPr>
                <w:color w:val="auto"/>
                <w:sz w:val="18"/>
                <w:szCs w:val="18"/>
              </w:rPr>
            </w:pPr>
            <w:r>
              <w:rPr>
                <w:rFonts w:hint="eastAsia"/>
                <w:color w:val="auto"/>
                <w:sz w:val="18"/>
                <w:szCs w:val="18"/>
              </w:rPr>
              <w:t>网络中心</w:t>
            </w:r>
          </w:p>
        </w:tc>
        <w:tc>
          <w:tcPr>
            <w:tcW w:w="804" w:type="dxa"/>
            <w:tcBorders>
              <w:top w:val="single" w:color="auto" w:sz="12" w:space="0"/>
              <w:bottom w:val="single" w:color="auto" w:sz="12" w:space="0"/>
            </w:tcBorders>
            <w:vAlign w:val="center"/>
          </w:tcPr>
          <w:p>
            <w:pPr>
              <w:jc w:val="cente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27" w:type="dxa"/>
            <w:vMerge w:val="continue"/>
          </w:tcPr>
          <w:p>
            <w:pPr>
              <w:rPr>
                <w:color w:val="auto"/>
                <w:sz w:val="18"/>
                <w:szCs w:val="18"/>
              </w:rPr>
            </w:pPr>
          </w:p>
        </w:tc>
        <w:tc>
          <w:tcPr>
            <w:tcW w:w="9105" w:type="dxa"/>
            <w:gridSpan w:val="2"/>
            <w:tcBorders>
              <w:top w:val="single" w:color="auto" w:sz="12" w:space="0"/>
              <w:bottom w:val="single" w:color="auto" w:sz="12" w:space="0"/>
            </w:tcBorders>
          </w:tcPr>
          <w:p>
            <w:pPr>
              <w:adjustRightInd w:val="0"/>
              <w:snapToGrid w:val="0"/>
              <w:spacing w:line="280" w:lineRule="exact"/>
              <w:rPr>
                <w:color w:val="auto"/>
                <w:sz w:val="18"/>
                <w:szCs w:val="18"/>
              </w:rPr>
            </w:pPr>
            <w:r>
              <w:rPr>
                <w:rFonts w:hint="eastAsia"/>
                <w:color w:val="auto"/>
                <w:sz w:val="18"/>
                <w:szCs w:val="18"/>
              </w:rPr>
              <w:t>争取完成学生活动中心、国际学术交流中心和校园绿化亮化美化等三期建设项目。</w:t>
            </w:r>
          </w:p>
        </w:tc>
        <w:tc>
          <w:tcPr>
            <w:tcW w:w="720" w:type="dxa"/>
            <w:tcBorders>
              <w:top w:val="single" w:color="auto" w:sz="12" w:space="0"/>
              <w:bottom w:val="single" w:color="auto" w:sz="12" w:space="0"/>
            </w:tcBorders>
            <w:vAlign w:val="center"/>
          </w:tcPr>
          <w:p>
            <w:pPr>
              <w:adjustRightInd w:val="0"/>
              <w:snapToGrid w:val="0"/>
              <w:ind w:left="-105" w:leftChars="-50" w:right="-105" w:rightChars="-50"/>
              <w:jc w:val="center"/>
              <w:rPr>
                <w:color w:val="auto"/>
                <w:sz w:val="18"/>
                <w:szCs w:val="18"/>
              </w:rPr>
            </w:pPr>
            <w:r>
              <w:rPr>
                <w:rFonts w:hint="eastAsia"/>
                <w:color w:val="auto"/>
                <w:sz w:val="18"/>
                <w:szCs w:val="18"/>
              </w:rPr>
              <w:t>基建处</w:t>
            </w:r>
          </w:p>
        </w:tc>
        <w:tc>
          <w:tcPr>
            <w:tcW w:w="804" w:type="dxa"/>
            <w:tcBorders>
              <w:top w:val="single" w:color="auto" w:sz="12" w:space="0"/>
              <w:bottom w:val="single" w:color="auto" w:sz="12" w:space="0"/>
            </w:tcBorders>
            <w:vAlign w:val="center"/>
          </w:tcPr>
          <w:p>
            <w:pPr>
              <w:jc w:val="cente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27" w:type="dxa"/>
            <w:vMerge w:val="continue"/>
          </w:tcPr>
          <w:p>
            <w:pPr>
              <w:rPr>
                <w:color w:val="auto"/>
                <w:sz w:val="18"/>
                <w:szCs w:val="18"/>
              </w:rPr>
            </w:pPr>
          </w:p>
        </w:tc>
        <w:tc>
          <w:tcPr>
            <w:tcW w:w="9105" w:type="dxa"/>
            <w:gridSpan w:val="2"/>
            <w:tcBorders>
              <w:top w:val="single" w:color="auto" w:sz="12" w:space="0"/>
              <w:bottom w:val="single" w:color="auto" w:sz="12" w:space="0"/>
            </w:tcBorders>
          </w:tcPr>
          <w:p>
            <w:pPr>
              <w:adjustRightInd w:val="0"/>
              <w:snapToGrid w:val="0"/>
              <w:spacing w:line="280" w:lineRule="exact"/>
              <w:rPr>
                <w:color w:val="auto"/>
                <w:sz w:val="18"/>
                <w:szCs w:val="18"/>
              </w:rPr>
            </w:pPr>
            <w:r>
              <w:rPr>
                <w:rFonts w:hint="eastAsia"/>
                <w:color w:val="auto"/>
                <w:sz w:val="18"/>
                <w:szCs w:val="18"/>
              </w:rPr>
              <w:t>教学科研仪器设备总值达到2.15亿元。</w:t>
            </w:r>
          </w:p>
        </w:tc>
        <w:tc>
          <w:tcPr>
            <w:tcW w:w="720" w:type="dxa"/>
            <w:tcBorders>
              <w:top w:val="single" w:color="auto" w:sz="12" w:space="0"/>
              <w:bottom w:val="single" w:color="auto" w:sz="12" w:space="0"/>
            </w:tcBorders>
            <w:vAlign w:val="center"/>
          </w:tcPr>
          <w:p>
            <w:pPr>
              <w:adjustRightInd w:val="0"/>
              <w:snapToGrid w:val="0"/>
              <w:ind w:left="-105" w:leftChars="-50" w:right="-105" w:rightChars="-50"/>
              <w:jc w:val="center"/>
              <w:rPr>
                <w:color w:val="auto"/>
                <w:sz w:val="18"/>
                <w:szCs w:val="18"/>
              </w:rPr>
            </w:pPr>
            <w:r>
              <w:rPr>
                <w:rFonts w:hint="eastAsia"/>
                <w:color w:val="auto"/>
                <w:sz w:val="18"/>
                <w:szCs w:val="18"/>
              </w:rPr>
              <w:t>资产处</w:t>
            </w:r>
          </w:p>
        </w:tc>
        <w:tc>
          <w:tcPr>
            <w:tcW w:w="804" w:type="dxa"/>
            <w:tcBorders>
              <w:top w:val="single" w:color="auto" w:sz="12" w:space="0"/>
              <w:bottom w:val="single" w:color="auto" w:sz="12" w:space="0"/>
            </w:tcBorders>
            <w:vAlign w:val="center"/>
          </w:tcPr>
          <w:p>
            <w:pPr>
              <w:jc w:val="cente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27" w:type="dxa"/>
            <w:vMerge w:val="continue"/>
            <w:tcBorders>
              <w:bottom w:val="single" w:color="auto" w:sz="12" w:space="0"/>
            </w:tcBorders>
          </w:tcPr>
          <w:p>
            <w:pPr>
              <w:rPr>
                <w:color w:val="auto"/>
                <w:sz w:val="18"/>
                <w:szCs w:val="18"/>
              </w:rPr>
            </w:pPr>
          </w:p>
        </w:tc>
        <w:tc>
          <w:tcPr>
            <w:tcW w:w="9105" w:type="dxa"/>
            <w:gridSpan w:val="2"/>
            <w:tcBorders>
              <w:top w:val="single" w:color="auto" w:sz="12" w:space="0"/>
              <w:bottom w:val="single" w:color="auto" w:sz="12" w:space="0"/>
            </w:tcBorders>
          </w:tcPr>
          <w:p>
            <w:pPr>
              <w:adjustRightInd w:val="0"/>
              <w:snapToGrid w:val="0"/>
              <w:spacing w:line="280" w:lineRule="exact"/>
              <w:rPr>
                <w:b/>
                <w:bCs/>
                <w:color w:val="auto"/>
                <w:sz w:val="18"/>
                <w:szCs w:val="18"/>
              </w:rPr>
            </w:pPr>
            <w:r>
              <w:rPr>
                <w:rFonts w:hint="eastAsia"/>
                <w:color w:val="auto"/>
                <w:sz w:val="18"/>
                <w:szCs w:val="18"/>
              </w:rPr>
              <w:t>培育先进学生典型。</w:t>
            </w:r>
          </w:p>
        </w:tc>
        <w:tc>
          <w:tcPr>
            <w:tcW w:w="720" w:type="dxa"/>
            <w:tcBorders>
              <w:top w:val="single" w:color="auto" w:sz="12" w:space="0"/>
              <w:bottom w:val="single" w:color="auto" w:sz="12" w:space="0"/>
            </w:tcBorders>
            <w:vAlign w:val="center"/>
          </w:tcPr>
          <w:p>
            <w:pPr>
              <w:adjustRightInd w:val="0"/>
              <w:snapToGrid w:val="0"/>
              <w:ind w:left="-105" w:leftChars="-50" w:right="-105" w:rightChars="-50"/>
              <w:jc w:val="center"/>
              <w:rPr>
                <w:color w:val="auto"/>
                <w:sz w:val="18"/>
                <w:szCs w:val="18"/>
              </w:rPr>
            </w:pPr>
            <w:r>
              <w:rPr>
                <w:rFonts w:hint="eastAsia"/>
                <w:color w:val="auto"/>
                <w:sz w:val="18"/>
                <w:szCs w:val="18"/>
              </w:rPr>
              <w:t>学生处</w:t>
            </w:r>
          </w:p>
        </w:tc>
        <w:tc>
          <w:tcPr>
            <w:tcW w:w="804" w:type="dxa"/>
            <w:tcBorders>
              <w:top w:val="single" w:color="auto" w:sz="12" w:space="0"/>
              <w:bottom w:val="single" w:color="auto" w:sz="12" w:space="0"/>
            </w:tcBorders>
            <w:vAlign w:val="center"/>
          </w:tcPr>
          <w:p>
            <w:pPr>
              <w:jc w:val="center"/>
              <w:rPr>
                <w:color w:val="auto"/>
                <w:sz w:val="18"/>
                <w:szCs w:val="18"/>
              </w:rPr>
            </w:pPr>
            <w:r>
              <w:rPr>
                <w:rFonts w:hint="eastAsia"/>
                <w:color w:val="auto"/>
                <w:sz w:val="18"/>
                <w:szCs w:val="18"/>
              </w:rPr>
              <w:t>团委</w:t>
            </w:r>
          </w:p>
        </w:tc>
      </w:tr>
    </w:tbl>
    <w:p>
      <w:pPr>
        <w:rPr>
          <w:sz w:val="10"/>
          <w:szCs w:val="10"/>
        </w:rPr>
      </w:pPr>
    </w:p>
    <w:tbl>
      <w:tblPr>
        <w:tblStyle w:val="4"/>
        <w:tblW w:w="157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2"/>
        <w:gridCol w:w="3735"/>
        <w:gridCol w:w="4230"/>
        <w:gridCol w:w="673"/>
        <w:gridCol w:w="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82" w:type="dxa"/>
            <w:vAlign w:val="center"/>
          </w:tcPr>
          <w:p>
            <w:pPr>
              <w:jc w:val="center"/>
              <w:rPr>
                <w:b/>
                <w:bCs/>
                <w:color w:val="auto"/>
              </w:rPr>
            </w:pPr>
            <w:r>
              <w:rPr>
                <w:rFonts w:hint="eastAsia"/>
                <w:b/>
                <w:bCs/>
                <w:color w:val="auto"/>
                <w:sz w:val="18"/>
                <w:szCs w:val="18"/>
              </w:rPr>
              <w:t>工程专业学位硕士点增列条件</w:t>
            </w:r>
          </w:p>
        </w:tc>
        <w:tc>
          <w:tcPr>
            <w:tcW w:w="3735" w:type="dxa"/>
            <w:vAlign w:val="center"/>
          </w:tcPr>
          <w:p>
            <w:pPr>
              <w:jc w:val="center"/>
              <w:rPr>
                <w:b/>
                <w:bCs/>
                <w:color w:val="auto"/>
                <w:sz w:val="18"/>
                <w:szCs w:val="18"/>
              </w:rPr>
            </w:pPr>
            <w:r>
              <w:rPr>
                <w:rFonts w:hint="eastAsia"/>
                <w:b/>
                <w:bCs/>
                <w:color w:val="auto"/>
                <w:sz w:val="18"/>
                <w:szCs w:val="18"/>
              </w:rPr>
              <w:t>2017年1月—2020年1月</w:t>
            </w:r>
          </w:p>
        </w:tc>
        <w:tc>
          <w:tcPr>
            <w:tcW w:w="4230" w:type="dxa"/>
            <w:vAlign w:val="center"/>
          </w:tcPr>
          <w:p>
            <w:pPr>
              <w:jc w:val="center"/>
              <w:rPr>
                <w:b/>
                <w:bCs/>
                <w:color w:val="auto"/>
                <w:sz w:val="18"/>
                <w:szCs w:val="18"/>
              </w:rPr>
            </w:pPr>
            <w:r>
              <w:rPr>
                <w:rFonts w:hint="eastAsia"/>
                <w:b/>
                <w:bCs/>
                <w:color w:val="auto"/>
                <w:sz w:val="18"/>
                <w:szCs w:val="18"/>
              </w:rPr>
              <w:t>2020年1月—2023年1月</w:t>
            </w:r>
          </w:p>
        </w:tc>
        <w:tc>
          <w:tcPr>
            <w:tcW w:w="673" w:type="dxa"/>
            <w:vAlign w:val="center"/>
          </w:tcPr>
          <w:p>
            <w:pPr>
              <w:jc w:val="center"/>
              <w:rPr>
                <w:b/>
                <w:bCs/>
                <w:color w:val="auto"/>
                <w:sz w:val="18"/>
                <w:szCs w:val="18"/>
              </w:rPr>
            </w:pPr>
            <w:r>
              <w:rPr>
                <w:rFonts w:hint="eastAsia"/>
                <w:b/>
                <w:bCs/>
                <w:color w:val="auto"/>
                <w:sz w:val="18"/>
                <w:szCs w:val="18"/>
              </w:rPr>
              <w:t>实施部门</w:t>
            </w:r>
          </w:p>
        </w:tc>
        <w:tc>
          <w:tcPr>
            <w:tcW w:w="836" w:type="dxa"/>
            <w:vAlign w:val="center"/>
          </w:tcPr>
          <w:p>
            <w:pPr>
              <w:jc w:val="center"/>
              <w:rPr>
                <w:b/>
                <w:bCs/>
                <w:color w:val="auto"/>
              </w:rPr>
            </w:pPr>
            <w:r>
              <w:rPr>
                <w:rFonts w:hint="eastAsia"/>
                <w:b/>
                <w:bCs/>
                <w:color w:val="auto"/>
              </w:rPr>
              <w:t>配合部门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7" w:hRule="atLeast"/>
          <w:jc w:val="center"/>
        </w:trPr>
        <w:tc>
          <w:tcPr>
            <w:tcW w:w="6282" w:type="dxa"/>
            <w:vMerge w:val="restart"/>
          </w:tcPr>
          <w:p>
            <w:pPr>
              <w:rPr>
                <w:color w:val="auto"/>
                <w:sz w:val="18"/>
                <w:szCs w:val="18"/>
              </w:rPr>
            </w:pPr>
            <w:r>
              <w:rPr>
                <w:rFonts w:hint="eastAsia"/>
                <w:color w:val="auto"/>
                <w:sz w:val="18"/>
                <w:szCs w:val="18"/>
              </w:rPr>
              <w:t>1、参与本领域工程硕士研究生教学与指导的行（企）业教师人数不少于1/2；</w:t>
            </w:r>
          </w:p>
          <w:p>
            <w:pPr>
              <w:rPr>
                <w:color w:val="auto"/>
                <w:sz w:val="18"/>
                <w:szCs w:val="18"/>
              </w:rPr>
            </w:pPr>
            <w:r>
              <w:rPr>
                <w:rFonts w:hint="eastAsia"/>
                <w:color w:val="auto"/>
                <w:sz w:val="18"/>
                <w:szCs w:val="18"/>
              </w:rPr>
              <w:t>2、45岁以下比例不少于1/3，具有博士学位人员比例不少于1/2；</w:t>
            </w:r>
          </w:p>
          <w:p>
            <w:pPr>
              <w:rPr>
                <w:color w:val="auto"/>
                <w:sz w:val="18"/>
                <w:szCs w:val="18"/>
              </w:rPr>
            </w:pPr>
            <w:r>
              <w:rPr>
                <w:rFonts w:hint="eastAsia"/>
                <w:color w:val="auto"/>
                <w:sz w:val="18"/>
                <w:szCs w:val="18"/>
              </w:rPr>
              <w:t>3、具有副高及以上职称骨干教师不少于5人；</w:t>
            </w:r>
          </w:p>
          <w:p>
            <w:pPr>
              <w:rPr>
                <w:color w:val="auto"/>
                <w:sz w:val="18"/>
                <w:szCs w:val="18"/>
              </w:rPr>
            </w:pPr>
            <w:r>
              <w:rPr>
                <w:rFonts w:hint="eastAsia"/>
                <w:color w:val="auto"/>
                <w:sz w:val="18"/>
                <w:szCs w:val="18"/>
              </w:rPr>
              <w:t>4、获得外单位硕士及以上学位人数不低于1/5；</w:t>
            </w:r>
          </w:p>
          <w:p>
            <w:pPr>
              <w:rPr>
                <w:color w:val="auto"/>
                <w:sz w:val="18"/>
                <w:szCs w:val="18"/>
              </w:rPr>
            </w:pPr>
            <w:r>
              <w:rPr>
                <w:rFonts w:hint="eastAsia"/>
                <w:color w:val="auto"/>
                <w:sz w:val="18"/>
                <w:szCs w:val="18"/>
              </w:rPr>
              <w:t>5、具有职业资格证书或具备相应行业工作经验或承担过工程技术类课题的人员比例不少于1/3。</w:t>
            </w:r>
          </w:p>
          <w:p>
            <w:pPr>
              <w:rPr>
                <w:color w:val="auto"/>
                <w:sz w:val="18"/>
                <w:szCs w:val="18"/>
              </w:rPr>
            </w:pPr>
            <w:r>
              <w:rPr>
                <w:rFonts w:hint="eastAsia"/>
                <w:color w:val="auto"/>
                <w:sz w:val="18"/>
                <w:szCs w:val="18"/>
              </w:rPr>
              <w:t>6、有不少于1/5的教师参与过本单位或其他单位工程硕士研究生的指导工作。</w:t>
            </w:r>
          </w:p>
          <w:p>
            <w:pPr>
              <w:rPr>
                <w:color w:val="auto"/>
                <w:sz w:val="18"/>
                <w:szCs w:val="18"/>
              </w:rPr>
            </w:pPr>
            <w:r>
              <w:rPr>
                <w:rFonts w:hint="eastAsia"/>
                <w:color w:val="auto"/>
                <w:sz w:val="18"/>
                <w:szCs w:val="18"/>
              </w:rPr>
              <w:t>7、近5年师均年科研经费不少于10万元，年科研经费不少于200万元（其中工程技术类课题经费不少于100万元，省部级及以上纵向科研经费所占比例不少于20%）；</w:t>
            </w:r>
          </w:p>
          <w:p>
            <w:pPr>
              <w:rPr>
                <w:color w:val="auto"/>
                <w:sz w:val="18"/>
                <w:szCs w:val="18"/>
              </w:rPr>
            </w:pPr>
            <w:r>
              <w:rPr>
                <w:rFonts w:hint="eastAsia"/>
                <w:color w:val="auto"/>
                <w:sz w:val="18"/>
                <w:szCs w:val="18"/>
              </w:rPr>
              <w:t>8、近5年在本领域取得高水平学术成果不少于3项；</w:t>
            </w:r>
          </w:p>
          <w:p>
            <w:pPr>
              <w:rPr>
                <w:color w:val="auto"/>
                <w:sz w:val="18"/>
                <w:szCs w:val="18"/>
              </w:rPr>
            </w:pPr>
            <w:r>
              <w:rPr>
                <w:rFonts w:hint="eastAsia"/>
                <w:color w:val="auto"/>
                <w:sz w:val="18"/>
                <w:szCs w:val="18"/>
              </w:rPr>
              <w:t>9、有一定数量的省部级（或一级行业协会）科学技术奖或应用成果（授权的发明专利、获得应用的技术规范或行业标准）；</w:t>
            </w:r>
          </w:p>
          <w:p>
            <w:pPr>
              <w:rPr>
                <w:color w:val="auto"/>
                <w:sz w:val="18"/>
                <w:szCs w:val="18"/>
              </w:rPr>
            </w:pPr>
            <w:r>
              <w:rPr>
                <w:rFonts w:hint="eastAsia"/>
                <w:color w:val="auto"/>
                <w:sz w:val="18"/>
                <w:szCs w:val="18"/>
              </w:rPr>
              <w:t>10、近5年，每位骨干教师主持过省部级及以上科研课题，且至少有1项工程技术类课题在研；</w:t>
            </w:r>
          </w:p>
          <w:p>
            <w:pPr>
              <w:rPr>
                <w:color w:val="auto"/>
                <w:sz w:val="18"/>
                <w:szCs w:val="18"/>
              </w:rPr>
            </w:pPr>
            <w:r>
              <w:rPr>
                <w:rFonts w:hint="eastAsia"/>
                <w:color w:val="auto"/>
                <w:sz w:val="18"/>
                <w:szCs w:val="18"/>
              </w:rPr>
              <w:t>11、与行（企）业联合培养工程硕士研究生，在支撑工程领域方向的相关学科开展案例教学和实践教学，确保研究生能够参与工程技术类课题；</w:t>
            </w:r>
          </w:p>
          <w:p>
            <w:pPr>
              <w:rPr>
                <w:color w:val="auto"/>
                <w:sz w:val="18"/>
                <w:szCs w:val="18"/>
              </w:rPr>
            </w:pPr>
            <w:r>
              <w:rPr>
                <w:rFonts w:hint="eastAsia"/>
                <w:color w:val="auto"/>
                <w:sz w:val="18"/>
                <w:szCs w:val="18"/>
              </w:rPr>
              <w:t>12、至少有2个职责明确、长期稳定的联合培养基地；</w:t>
            </w:r>
          </w:p>
          <w:p>
            <w:pPr>
              <w:rPr>
                <w:color w:val="auto"/>
                <w:sz w:val="18"/>
                <w:szCs w:val="18"/>
              </w:rPr>
            </w:pPr>
            <w:r>
              <w:rPr>
                <w:rFonts w:hint="eastAsia"/>
                <w:color w:val="auto"/>
                <w:sz w:val="18"/>
                <w:szCs w:val="18"/>
              </w:rPr>
              <w:t>13、联合培养基地至少有5名具有副高及以上职称的专业技术人员能够参与工程硕士研究生的全程指导。</w:t>
            </w:r>
          </w:p>
        </w:tc>
        <w:tc>
          <w:tcPr>
            <w:tcW w:w="3735" w:type="dxa"/>
          </w:tcPr>
          <w:p>
            <w:pPr>
              <w:rPr>
                <w:color w:val="auto"/>
                <w:sz w:val="18"/>
                <w:szCs w:val="18"/>
              </w:rPr>
            </w:pPr>
            <w:r>
              <w:rPr>
                <w:rFonts w:hint="eastAsia"/>
                <w:color w:val="auto"/>
                <w:sz w:val="18"/>
                <w:szCs w:val="18"/>
              </w:rPr>
              <w:t>1、科研经费进账不少于</w:t>
            </w:r>
            <w:r>
              <w:rPr>
                <w:rFonts w:hint="eastAsia"/>
                <w:color w:val="auto"/>
                <w:sz w:val="18"/>
                <w:szCs w:val="18"/>
                <w:lang w:val="en-US" w:eastAsia="zh-CN"/>
              </w:rPr>
              <w:t>780</w:t>
            </w:r>
            <w:r>
              <w:rPr>
                <w:rFonts w:hint="eastAsia"/>
                <w:color w:val="auto"/>
                <w:sz w:val="18"/>
                <w:szCs w:val="18"/>
              </w:rPr>
              <w:t>万元；</w:t>
            </w:r>
          </w:p>
          <w:p>
            <w:pPr>
              <w:rPr>
                <w:color w:val="auto"/>
                <w:sz w:val="18"/>
                <w:szCs w:val="18"/>
              </w:rPr>
            </w:pPr>
            <w:r>
              <w:rPr>
                <w:rFonts w:hint="eastAsia"/>
                <w:color w:val="auto"/>
                <w:sz w:val="18"/>
                <w:szCs w:val="18"/>
              </w:rPr>
              <w:t>2、新增承担省部级科研项目28项，新增公开发表学术论文65篇；</w:t>
            </w:r>
          </w:p>
          <w:p>
            <w:pPr>
              <w:rPr>
                <w:color w:val="auto"/>
                <w:sz w:val="18"/>
                <w:szCs w:val="18"/>
              </w:rPr>
            </w:pPr>
            <w:r>
              <w:rPr>
                <w:rFonts w:hint="eastAsia"/>
                <w:color w:val="auto"/>
                <w:sz w:val="18"/>
                <w:szCs w:val="18"/>
              </w:rPr>
              <w:t>3、新增省部级及以上科研成果奖不少于1项；</w:t>
            </w:r>
          </w:p>
          <w:p>
            <w:pPr>
              <w:rPr>
                <w:color w:val="auto"/>
                <w:sz w:val="18"/>
                <w:szCs w:val="18"/>
              </w:rPr>
            </w:pPr>
            <w:r>
              <w:rPr>
                <w:rFonts w:hint="eastAsia"/>
                <w:color w:val="auto"/>
                <w:sz w:val="18"/>
                <w:szCs w:val="18"/>
              </w:rPr>
              <w:t>4、新增授权发明专利不少于15项；</w:t>
            </w:r>
          </w:p>
          <w:p>
            <w:pPr>
              <w:rPr>
                <w:color w:val="auto"/>
                <w:sz w:val="18"/>
                <w:szCs w:val="18"/>
              </w:rPr>
            </w:pPr>
            <w:r>
              <w:rPr>
                <w:rFonts w:hint="eastAsia"/>
                <w:color w:val="auto"/>
                <w:sz w:val="18"/>
                <w:szCs w:val="18"/>
              </w:rPr>
              <w:t>5、建成与区域内知名企业共建的高水平专业硕士联合培养基地1个。</w:t>
            </w:r>
          </w:p>
        </w:tc>
        <w:tc>
          <w:tcPr>
            <w:tcW w:w="4230" w:type="dxa"/>
          </w:tcPr>
          <w:p>
            <w:pPr>
              <w:rPr>
                <w:color w:val="auto"/>
                <w:sz w:val="18"/>
                <w:szCs w:val="18"/>
              </w:rPr>
            </w:pPr>
            <w:r>
              <w:rPr>
                <w:rFonts w:hint="eastAsia"/>
                <w:color w:val="auto"/>
                <w:sz w:val="18"/>
                <w:szCs w:val="18"/>
              </w:rPr>
              <w:t>1、科研经费进账不少于</w:t>
            </w:r>
            <w:r>
              <w:rPr>
                <w:rFonts w:hint="eastAsia"/>
                <w:color w:val="auto"/>
                <w:sz w:val="18"/>
                <w:szCs w:val="18"/>
                <w:lang w:val="en-US" w:eastAsia="zh-CN"/>
              </w:rPr>
              <w:t>900</w:t>
            </w:r>
            <w:r>
              <w:rPr>
                <w:rFonts w:hint="eastAsia"/>
                <w:color w:val="auto"/>
                <w:sz w:val="18"/>
                <w:szCs w:val="18"/>
              </w:rPr>
              <w:t>万元；</w:t>
            </w:r>
          </w:p>
          <w:p>
            <w:pPr>
              <w:rPr>
                <w:color w:val="auto"/>
                <w:sz w:val="18"/>
                <w:szCs w:val="18"/>
              </w:rPr>
            </w:pPr>
            <w:r>
              <w:rPr>
                <w:rFonts w:hint="eastAsia"/>
                <w:color w:val="auto"/>
                <w:sz w:val="18"/>
                <w:szCs w:val="18"/>
              </w:rPr>
              <w:t>2、新增承担省部级科研项目32项，新增公开发表学术论文96篇；</w:t>
            </w:r>
          </w:p>
          <w:p>
            <w:pPr>
              <w:rPr>
                <w:color w:val="auto"/>
                <w:sz w:val="18"/>
                <w:szCs w:val="18"/>
              </w:rPr>
            </w:pPr>
            <w:r>
              <w:rPr>
                <w:rFonts w:hint="eastAsia"/>
                <w:color w:val="auto"/>
                <w:sz w:val="18"/>
                <w:szCs w:val="18"/>
              </w:rPr>
              <w:t>3、新增省部级及以上科研成果奖不少于2项；</w:t>
            </w:r>
          </w:p>
          <w:p>
            <w:pPr>
              <w:rPr>
                <w:color w:val="auto"/>
                <w:sz w:val="18"/>
                <w:szCs w:val="18"/>
              </w:rPr>
            </w:pPr>
            <w:r>
              <w:rPr>
                <w:rFonts w:hint="eastAsia"/>
                <w:color w:val="auto"/>
                <w:sz w:val="18"/>
                <w:szCs w:val="18"/>
              </w:rPr>
              <w:t>4、新增授权发明专利不少于20项；</w:t>
            </w:r>
          </w:p>
          <w:p>
            <w:pPr>
              <w:rPr>
                <w:color w:val="auto"/>
                <w:sz w:val="18"/>
                <w:szCs w:val="18"/>
              </w:rPr>
            </w:pPr>
            <w:r>
              <w:rPr>
                <w:rFonts w:hint="eastAsia"/>
                <w:color w:val="auto"/>
                <w:sz w:val="18"/>
                <w:szCs w:val="18"/>
              </w:rPr>
              <w:t>5、6年建设期内引进或培养长江学者、芙蓉学者等高端人才1-2名，新增教授4-6名，新增博士6名；</w:t>
            </w:r>
          </w:p>
          <w:p>
            <w:pPr>
              <w:numPr>
                <w:ilvl w:val="0"/>
                <w:numId w:val="1"/>
              </w:numPr>
              <w:rPr>
                <w:color w:val="auto"/>
                <w:sz w:val="18"/>
                <w:szCs w:val="18"/>
              </w:rPr>
            </w:pPr>
            <w:r>
              <w:rPr>
                <w:rFonts w:hint="eastAsia"/>
                <w:color w:val="auto"/>
                <w:sz w:val="18"/>
                <w:szCs w:val="18"/>
              </w:rPr>
              <w:t>建成与区域内知名企业共建的高水平专业硕士联合培养基地2个；</w:t>
            </w:r>
          </w:p>
          <w:p>
            <w:pPr>
              <w:rPr>
                <w:color w:val="auto"/>
                <w:sz w:val="18"/>
                <w:szCs w:val="18"/>
              </w:rPr>
            </w:pPr>
            <w:r>
              <w:rPr>
                <w:rFonts w:hint="eastAsia"/>
                <w:color w:val="auto"/>
                <w:sz w:val="18"/>
                <w:szCs w:val="18"/>
              </w:rPr>
              <w:t>7、建设期末，保证完成左侧“工程专业学位硕士点增列条件”中列出的所有要求。</w:t>
            </w:r>
          </w:p>
        </w:tc>
        <w:tc>
          <w:tcPr>
            <w:tcW w:w="673" w:type="dxa"/>
            <w:vAlign w:val="center"/>
          </w:tcPr>
          <w:p>
            <w:pPr>
              <w:rPr>
                <w:color w:val="auto"/>
                <w:sz w:val="18"/>
                <w:szCs w:val="18"/>
              </w:rPr>
            </w:pPr>
            <w:r>
              <w:rPr>
                <w:rFonts w:hint="eastAsia"/>
                <w:color w:val="auto"/>
                <w:sz w:val="18"/>
                <w:szCs w:val="18"/>
              </w:rPr>
              <w:t>安工学院</w:t>
            </w:r>
          </w:p>
        </w:tc>
        <w:tc>
          <w:tcPr>
            <w:tcW w:w="836" w:type="dxa"/>
            <w:vMerge w:val="restart"/>
            <w:vAlign w:val="center"/>
          </w:tcPr>
          <w:p>
            <w:pPr>
              <w:rPr>
                <w:color w:val="auto"/>
                <w:sz w:val="18"/>
                <w:szCs w:val="18"/>
              </w:rPr>
            </w:pPr>
            <w:r>
              <w:rPr>
                <w:rFonts w:hint="eastAsia"/>
                <w:color w:val="auto"/>
                <w:sz w:val="18"/>
                <w:szCs w:val="18"/>
              </w:rPr>
              <w:t>人事处、学科建设中心、科技处、教务处、校企合作处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7" w:hRule="atLeast"/>
          <w:jc w:val="center"/>
        </w:trPr>
        <w:tc>
          <w:tcPr>
            <w:tcW w:w="6282" w:type="dxa"/>
            <w:vMerge w:val="continue"/>
          </w:tcPr>
          <w:p>
            <w:pPr>
              <w:rPr>
                <w:color w:val="auto"/>
              </w:rPr>
            </w:pPr>
          </w:p>
        </w:tc>
        <w:tc>
          <w:tcPr>
            <w:tcW w:w="3735" w:type="dxa"/>
          </w:tcPr>
          <w:p>
            <w:pPr>
              <w:rPr>
                <w:color w:val="auto"/>
                <w:sz w:val="18"/>
                <w:szCs w:val="18"/>
              </w:rPr>
            </w:pPr>
            <w:r>
              <w:rPr>
                <w:rFonts w:hint="eastAsia"/>
                <w:color w:val="auto"/>
                <w:sz w:val="18"/>
                <w:szCs w:val="18"/>
              </w:rPr>
              <w:t>1、科研经费进账不少于528万元，年师均科研经费不少于8万元；</w:t>
            </w:r>
          </w:p>
          <w:p>
            <w:pPr>
              <w:rPr>
                <w:color w:val="auto"/>
                <w:sz w:val="18"/>
                <w:szCs w:val="18"/>
              </w:rPr>
            </w:pPr>
            <w:r>
              <w:rPr>
                <w:rFonts w:hint="eastAsia"/>
                <w:color w:val="auto"/>
                <w:sz w:val="18"/>
                <w:szCs w:val="18"/>
              </w:rPr>
              <w:t>2、新增承担省部级及以上科研项目24项</w:t>
            </w:r>
            <w:r>
              <w:rPr>
                <w:rFonts w:hint="eastAsia"/>
                <w:color w:val="auto"/>
                <w:sz w:val="18"/>
                <w:szCs w:val="18"/>
                <w:lang w:eastAsia="zh-CN"/>
              </w:rPr>
              <w:t>，</w:t>
            </w:r>
            <w:r>
              <w:rPr>
                <w:rFonts w:hint="eastAsia"/>
                <w:color w:val="auto"/>
                <w:sz w:val="18"/>
                <w:szCs w:val="18"/>
              </w:rPr>
              <w:t>新增公开发表学术论文90篇；</w:t>
            </w:r>
          </w:p>
          <w:p>
            <w:pPr>
              <w:rPr>
                <w:color w:val="auto"/>
                <w:sz w:val="18"/>
                <w:szCs w:val="18"/>
              </w:rPr>
            </w:pPr>
            <w:r>
              <w:rPr>
                <w:rFonts w:hint="eastAsia"/>
                <w:color w:val="auto"/>
                <w:sz w:val="18"/>
                <w:szCs w:val="18"/>
              </w:rPr>
              <w:t>3、新增省部级及以上科研成果奖不少于1项；</w:t>
            </w:r>
          </w:p>
          <w:p>
            <w:pPr>
              <w:rPr>
                <w:color w:val="auto"/>
                <w:sz w:val="18"/>
                <w:szCs w:val="18"/>
              </w:rPr>
            </w:pPr>
            <w:r>
              <w:rPr>
                <w:rFonts w:hint="eastAsia"/>
                <w:color w:val="auto"/>
                <w:sz w:val="18"/>
                <w:szCs w:val="18"/>
              </w:rPr>
              <w:t>4、新增授权发明专利不少于15项；</w:t>
            </w:r>
          </w:p>
          <w:p>
            <w:pPr>
              <w:rPr>
                <w:color w:val="auto"/>
                <w:sz w:val="18"/>
                <w:szCs w:val="18"/>
              </w:rPr>
            </w:pPr>
            <w:r>
              <w:rPr>
                <w:rFonts w:hint="eastAsia"/>
                <w:color w:val="auto"/>
                <w:sz w:val="18"/>
                <w:szCs w:val="18"/>
              </w:rPr>
              <w:t>5、建成与区域内知名企业共建的高水平专业硕士联合培养基地1个；</w:t>
            </w:r>
          </w:p>
          <w:p>
            <w:pPr>
              <w:rPr>
                <w:color w:val="auto"/>
                <w:sz w:val="18"/>
                <w:szCs w:val="18"/>
              </w:rPr>
            </w:pPr>
          </w:p>
        </w:tc>
        <w:tc>
          <w:tcPr>
            <w:tcW w:w="4230" w:type="dxa"/>
          </w:tcPr>
          <w:p>
            <w:pPr>
              <w:rPr>
                <w:color w:val="auto"/>
                <w:sz w:val="18"/>
                <w:szCs w:val="18"/>
              </w:rPr>
            </w:pPr>
            <w:r>
              <w:rPr>
                <w:rFonts w:hint="eastAsia"/>
                <w:color w:val="auto"/>
                <w:sz w:val="18"/>
                <w:szCs w:val="18"/>
              </w:rPr>
              <w:t>1、科研经费进账不少于660万元，年师均科研经费不少于10万元；</w:t>
            </w:r>
          </w:p>
          <w:p>
            <w:pPr>
              <w:rPr>
                <w:color w:val="auto"/>
                <w:sz w:val="18"/>
                <w:szCs w:val="18"/>
              </w:rPr>
            </w:pPr>
            <w:r>
              <w:rPr>
                <w:rFonts w:hint="eastAsia"/>
                <w:color w:val="auto"/>
                <w:sz w:val="18"/>
                <w:szCs w:val="18"/>
              </w:rPr>
              <w:t>2、新增承担省部级及以上科研项目30项</w:t>
            </w:r>
            <w:r>
              <w:rPr>
                <w:rFonts w:hint="eastAsia"/>
                <w:color w:val="auto"/>
                <w:sz w:val="18"/>
                <w:szCs w:val="18"/>
                <w:lang w:eastAsia="zh-CN"/>
              </w:rPr>
              <w:t>，</w:t>
            </w:r>
            <w:r>
              <w:rPr>
                <w:rFonts w:hint="eastAsia"/>
                <w:color w:val="auto"/>
                <w:sz w:val="18"/>
                <w:szCs w:val="18"/>
              </w:rPr>
              <w:t>新增公开发表学术论文120篇；</w:t>
            </w:r>
          </w:p>
          <w:p>
            <w:pPr>
              <w:rPr>
                <w:color w:val="auto"/>
                <w:sz w:val="18"/>
                <w:szCs w:val="18"/>
              </w:rPr>
            </w:pPr>
            <w:r>
              <w:rPr>
                <w:rFonts w:hint="eastAsia"/>
                <w:color w:val="auto"/>
                <w:sz w:val="18"/>
                <w:szCs w:val="18"/>
              </w:rPr>
              <w:t>3、新增省部级及以上科研成果奖不少于2项；</w:t>
            </w:r>
          </w:p>
          <w:p>
            <w:pPr>
              <w:rPr>
                <w:color w:val="auto"/>
                <w:sz w:val="18"/>
                <w:szCs w:val="18"/>
              </w:rPr>
            </w:pPr>
            <w:r>
              <w:rPr>
                <w:rFonts w:hint="eastAsia"/>
                <w:color w:val="auto"/>
                <w:sz w:val="18"/>
                <w:szCs w:val="18"/>
              </w:rPr>
              <w:t>4、新增授权发明专利不少于20项；</w:t>
            </w:r>
          </w:p>
          <w:p>
            <w:pPr>
              <w:rPr>
                <w:color w:val="auto"/>
                <w:sz w:val="18"/>
                <w:szCs w:val="18"/>
              </w:rPr>
            </w:pPr>
            <w:r>
              <w:rPr>
                <w:rFonts w:hint="eastAsia"/>
                <w:color w:val="auto"/>
                <w:sz w:val="18"/>
                <w:szCs w:val="18"/>
              </w:rPr>
              <w:t>5、6年建设期内引进或培养长江学者、芙蓉学者等高端人才1-2名，新增教授4-6名，新增博士6名；</w:t>
            </w:r>
          </w:p>
          <w:p>
            <w:pPr>
              <w:numPr>
                <w:ilvl w:val="0"/>
                <w:numId w:val="2"/>
              </w:numPr>
              <w:rPr>
                <w:color w:val="auto"/>
                <w:sz w:val="18"/>
                <w:szCs w:val="18"/>
              </w:rPr>
            </w:pPr>
            <w:r>
              <w:rPr>
                <w:rFonts w:hint="eastAsia"/>
                <w:color w:val="auto"/>
                <w:sz w:val="18"/>
                <w:szCs w:val="18"/>
              </w:rPr>
              <w:t>建成与区域内知名企业共建的高水平专业硕士联合培养基地2个。</w:t>
            </w:r>
          </w:p>
          <w:p>
            <w:pPr>
              <w:rPr>
                <w:color w:val="auto"/>
                <w:sz w:val="18"/>
                <w:szCs w:val="18"/>
              </w:rPr>
            </w:pPr>
            <w:r>
              <w:rPr>
                <w:rFonts w:hint="eastAsia"/>
                <w:color w:val="auto"/>
                <w:sz w:val="18"/>
                <w:szCs w:val="18"/>
              </w:rPr>
              <w:t>7、建设期末，保证完成左侧“工程专业学位硕士点增列条件”中列出的所有要求。</w:t>
            </w:r>
          </w:p>
        </w:tc>
        <w:tc>
          <w:tcPr>
            <w:tcW w:w="673" w:type="dxa"/>
            <w:vAlign w:val="center"/>
          </w:tcPr>
          <w:p>
            <w:pPr>
              <w:rPr>
                <w:color w:val="auto"/>
                <w:sz w:val="18"/>
                <w:szCs w:val="18"/>
              </w:rPr>
            </w:pPr>
            <w:r>
              <w:rPr>
                <w:rFonts w:hint="eastAsia"/>
                <w:color w:val="auto"/>
                <w:sz w:val="18"/>
                <w:szCs w:val="18"/>
              </w:rPr>
              <w:t>机械学院</w:t>
            </w:r>
          </w:p>
        </w:tc>
        <w:tc>
          <w:tcPr>
            <w:tcW w:w="836" w:type="dxa"/>
            <w:vMerge w:val="continue"/>
            <w:vAlign w:val="center"/>
          </w:tcPr>
          <w:p>
            <w:pPr>
              <w:rPr>
                <w:color w:val="auto"/>
                <w:sz w:val="18"/>
                <w:szCs w:val="18"/>
              </w:rPr>
            </w:pPr>
          </w:p>
        </w:tc>
      </w:tr>
    </w:tbl>
    <w:p/>
    <w:tbl>
      <w:tblPr>
        <w:tblStyle w:val="4"/>
        <w:tblW w:w="157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7"/>
        <w:gridCol w:w="3345"/>
        <w:gridCol w:w="2715"/>
        <w:gridCol w:w="673"/>
        <w:gridCol w:w="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87" w:type="dxa"/>
            <w:vAlign w:val="center"/>
          </w:tcPr>
          <w:p>
            <w:pPr>
              <w:jc w:val="center"/>
              <w:rPr>
                <w:b/>
                <w:bCs/>
                <w:color w:val="auto"/>
              </w:rPr>
            </w:pPr>
            <w:r>
              <w:rPr>
                <w:rFonts w:hint="eastAsia"/>
                <w:b/>
                <w:bCs/>
                <w:color w:val="auto"/>
                <w:sz w:val="18"/>
                <w:szCs w:val="18"/>
              </w:rPr>
              <w:t>会计专业硕士点增列条件</w:t>
            </w:r>
          </w:p>
        </w:tc>
        <w:tc>
          <w:tcPr>
            <w:tcW w:w="3345" w:type="dxa"/>
            <w:vAlign w:val="center"/>
          </w:tcPr>
          <w:p>
            <w:pPr>
              <w:jc w:val="center"/>
              <w:rPr>
                <w:b/>
                <w:bCs/>
                <w:color w:val="auto"/>
                <w:sz w:val="18"/>
                <w:szCs w:val="18"/>
              </w:rPr>
            </w:pPr>
            <w:r>
              <w:rPr>
                <w:rFonts w:hint="eastAsia"/>
                <w:b/>
                <w:bCs/>
                <w:color w:val="auto"/>
                <w:sz w:val="18"/>
                <w:szCs w:val="18"/>
              </w:rPr>
              <w:t>2017年1月—2020年1月</w:t>
            </w:r>
          </w:p>
        </w:tc>
        <w:tc>
          <w:tcPr>
            <w:tcW w:w="2715" w:type="dxa"/>
            <w:vAlign w:val="center"/>
          </w:tcPr>
          <w:p>
            <w:pPr>
              <w:jc w:val="center"/>
              <w:rPr>
                <w:b/>
                <w:bCs/>
                <w:color w:val="auto"/>
                <w:sz w:val="18"/>
                <w:szCs w:val="18"/>
              </w:rPr>
            </w:pPr>
            <w:r>
              <w:rPr>
                <w:rFonts w:hint="eastAsia"/>
                <w:b/>
                <w:bCs/>
                <w:color w:val="auto"/>
                <w:sz w:val="18"/>
                <w:szCs w:val="18"/>
              </w:rPr>
              <w:t>2020年1月—2023年1月</w:t>
            </w:r>
          </w:p>
        </w:tc>
        <w:tc>
          <w:tcPr>
            <w:tcW w:w="673" w:type="dxa"/>
            <w:vAlign w:val="center"/>
          </w:tcPr>
          <w:p>
            <w:pPr>
              <w:jc w:val="center"/>
              <w:rPr>
                <w:b/>
                <w:bCs/>
                <w:color w:val="auto"/>
                <w:sz w:val="18"/>
                <w:szCs w:val="18"/>
              </w:rPr>
            </w:pPr>
            <w:r>
              <w:rPr>
                <w:rFonts w:hint="eastAsia"/>
                <w:b/>
                <w:bCs/>
                <w:color w:val="auto"/>
                <w:sz w:val="18"/>
                <w:szCs w:val="18"/>
              </w:rPr>
              <w:t>实施部门</w:t>
            </w:r>
          </w:p>
        </w:tc>
        <w:tc>
          <w:tcPr>
            <w:tcW w:w="836" w:type="dxa"/>
            <w:vAlign w:val="center"/>
          </w:tcPr>
          <w:p>
            <w:pPr>
              <w:jc w:val="center"/>
              <w:rPr>
                <w:b/>
                <w:bCs/>
                <w:color w:val="auto"/>
              </w:rPr>
            </w:pPr>
            <w:r>
              <w:rPr>
                <w:rFonts w:hint="eastAsia"/>
                <w:b/>
                <w:bCs/>
                <w:color w:val="auto"/>
              </w:rPr>
              <w:t>配合部门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87" w:type="dxa"/>
          </w:tcPr>
          <w:p>
            <w:pPr>
              <w:rPr>
                <w:color w:val="auto"/>
                <w:sz w:val="18"/>
                <w:szCs w:val="18"/>
              </w:rPr>
            </w:pPr>
            <w:r>
              <w:rPr>
                <w:rFonts w:hint="eastAsia"/>
                <w:color w:val="auto"/>
                <w:sz w:val="18"/>
                <w:szCs w:val="18"/>
              </w:rPr>
              <w:t>1、</w:t>
            </w:r>
            <w:r>
              <w:rPr>
                <w:rFonts w:hint="eastAsia" w:asciiTheme="minorEastAsia" w:hAnsiTheme="minorEastAsia"/>
                <w:color w:val="auto"/>
                <w:sz w:val="18"/>
                <w:szCs w:val="18"/>
              </w:rPr>
              <w:t>专任教师2具有副高及以上职称或具有博士学位，不少于15人；行业教师3不少于15人。根据《全国会计硕士专业学位研究生参考性培养方案》对学分和课程的要求制定授课计划。拟开设的每门专业必修课4应至少配备2名专任教师，且每名教师为同一班级只能讲授1门课程</w:t>
            </w:r>
            <w:r>
              <w:rPr>
                <w:rFonts w:hint="eastAsia"/>
                <w:color w:val="auto"/>
                <w:sz w:val="18"/>
                <w:szCs w:val="18"/>
              </w:rPr>
              <w:t>；</w:t>
            </w:r>
          </w:p>
          <w:p>
            <w:pPr>
              <w:rPr>
                <w:color w:val="auto"/>
                <w:sz w:val="18"/>
                <w:szCs w:val="18"/>
              </w:rPr>
            </w:pPr>
            <w:r>
              <w:rPr>
                <w:rFonts w:hint="eastAsia"/>
                <w:color w:val="auto"/>
                <w:sz w:val="18"/>
                <w:szCs w:val="18"/>
              </w:rPr>
              <w:t>2、</w:t>
            </w:r>
            <w:r>
              <w:rPr>
                <w:rFonts w:hint="eastAsia" w:asciiTheme="minorEastAsia" w:hAnsiTheme="minorEastAsia"/>
                <w:color w:val="auto"/>
                <w:sz w:val="18"/>
                <w:szCs w:val="18"/>
              </w:rPr>
              <w:t>获得副高及以上职称的比例不低于60%；具有会计相关专业博士学位的比例不低于50%，且获外单位会计相关专业博士学位的比例不低于30%；具有实践经验的比例不低于70%</w:t>
            </w:r>
            <w:r>
              <w:rPr>
                <w:rFonts w:hint="eastAsia"/>
                <w:color w:val="auto"/>
                <w:sz w:val="18"/>
                <w:szCs w:val="18"/>
              </w:rPr>
              <w:t>；</w:t>
            </w:r>
          </w:p>
          <w:p>
            <w:pPr>
              <w:rPr>
                <w:color w:val="auto"/>
                <w:sz w:val="18"/>
                <w:szCs w:val="18"/>
              </w:rPr>
            </w:pPr>
            <w:r>
              <w:rPr>
                <w:rFonts w:hint="eastAsia"/>
                <w:color w:val="auto"/>
                <w:sz w:val="18"/>
                <w:szCs w:val="18"/>
              </w:rPr>
              <w:t>3、</w:t>
            </w:r>
            <w:r>
              <w:rPr>
                <w:rFonts w:hint="eastAsia" w:asciiTheme="minorEastAsia" w:hAnsiTheme="minorEastAsia"/>
                <w:color w:val="auto"/>
                <w:sz w:val="18"/>
                <w:szCs w:val="18"/>
              </w:rPr>
              <w:t>每名专任教师近5年内应至少参加2次校外组织的会计教育相关的培训、专业研修、课程研讨、考察交流和出国进修等活动。行业教师中，在国家机关、大中型企事业单位、金融机构、中介机构等担任中高级管理人员的比例不低于80%</w:t>
            </w:r>
            <w:r>
              <w:rPr>
                <w:rFonts w:hint="eastAsia"/>
                <w:color w:val="auto"/>
                <w:sz w:val="18"/>
                <w:szCs w:val="18"/>
              </w:rPr>
              <w:t>；</w:t>
            </w:r>
          </w:p>
          <w:p>
            <w:pPr>
              <w:rPr>
                <w:color w:val="auto"/>
                <w:sz w:val="18"/>
                <w:szCs w:val="18"/>
              </w:rPr>
            </w:pPr>
            <w:r>
              <w:rPr>
                <w:rFonts w:hint="eastAsia"/>
                <w:color w:val="auto"/>
                <w:sz w:val="18"/>
                <w:szCs w:val="18"/>
              </w:rPr>
              <w:t>4、</w:t>
            </w:r>
            <w:r>
              <w:rPr>
                <w:rFonts w:hint="eastAsia" w:asciiTheme="minorEastAsia" w:hAnsiTheme="minorEastAsia"/>
                <w:color w:val="auto"/>
                <w:sz w:val="18"/>
                <w:szCs w:val="18"/>
              </w:rPr>
              <w:t>近5年，骨干教师在高水平期刊上发表的会计、财务、审计专业的学术论文与主持的省部级（含）以上科研课题的数量之和人均不少于3项。每门专业必修课的骨干教师应不少于2位</w:t>
            </w:r>
            <w:r>
              <w:rPr>
                <w:rFonts w:hint="eastAsia"/>
                <w:color w:val="auto"/>
                <w:sz w:val="18"/>
                <w:szCs w:val="18"/>
              </w:rPr>
              <w:t>；</w:t>
            </w:r>
          </w:p>
          <w:p>
            <w:pPr>
              <w:rPr>
                <w:color w:val="auto"/>
                <w:sz w:val="18"/>
                <w:szCs w:val="18"/>
              </w:rPr>
            </w:pPr>
            <w:r>
              <w:rPr>
                <w:rFonts w:hint="eastAsia"/>
                <w:color w:val="auto"/>
                <w:sz w:val="18"/>
                <w:szCs w:val="18"/>
              </w:rPr>
              <w:t>5、</w:t>
            </w:r>
            <w:r>
              <w:rPr>
                <w:rFonts w:hint="eastAsia" w:asciiTheme="minorEastAsia" w:hAnsiTheme="minorEastAsia"/>
                <w:color w:val="auto"/>
                <w:sz w:val="18"/>
                <w:szCs w:val="18"/>
              </w:rPr>
              <w:t>拟开设课程应满足培养目标的要求，并根据培养方向至少拟开发1门特色专业课程</w:t>
            </w:r>
            <w:r>
              <w:rPr>
                <w:rFonts w:hint="eastAsia"/>
                <w:color w:val="auto"/>
                <w:sz w:val="18"/>
                <w:szCs w:val="18"/>
              </w:rPr>
              <w:t>；</w:t>
            </w:r>
          </w:p>
          <w:p>
            <w:pPr>
              <w:rPr>
                <w:color w:val="auto"/>
                <w:sz w:val="18"/>
                <w:szCs w:val="18"/>
              </w:rPr>
            </w:pPr>
            <w:r>
              <w:rPr>
                <w:rFonts w:hint="eastAsia"/>
                <w:color w:val="auto"/>
                <w:sz w:val="18"/>
                <w:szCs w:val="18"/>
              </w:rPr>
              <w:t>6、</w:t>
            </w:r>
            <w:r>
              <w:rPr>
                <w:rFonts w:hint="eastAsia" w:asciiTheme="minorEastAsia" w:hAnsiTheme="minorEastAsia"/>
                <w:color w:val="auto"/>
                <w:sz w:val="18"/>
                <w:szCs w:val="18"/>
              </w:rPr>
              <w:t>近5年，本专业或相近专业本科生或本专业研究生在全国性案例大赛（含创业大赛）中至少获得1项省级及以上奖项</w:t>
            </w:r>
            <w:r>
              <w:rPr>
                <w:rFonts w:hint="eastAsia"/>
                <w:color w:val="auto"/>
                <w:sz w:val="18"/>
                <w:szCs w:val="18"/>
              </w:rPr>
              <w:t>；</w:t>
            </w:r>
          </w:p>
          <w:p>
            <w:pPr>
              <w:rPr>
                <w:color w:val="auto"/>
                <w:sz w:val="18"/>
                <w:szCs w:val="18"/>
              </w:rPr>
            </w:pPr>
            <w:r>
              <w:rPr>
                <w:rFonts w:hint="eastAsia"/>
                <w:color w:val="auto"/>
                <w:sz w:val="18"/>
                <w:szCs w:val="18"/>
              </w:rPr>
              <w:t>7、</w:t>
            </w:r>
            <w:r>
              <w:rPr>
                <w:rFonts w:hint="eastAsia" w:asciiTheme="minorEastAsia" w:hAnsiTheme="minorEastAsia"/>
                <w:color w:val="auto"/>
                <w:sz w:val="18"/>
                <w:szCs w:val="18"/>
              </w:rPr>
              <w:t>近5年，申请单位应至少获得1项省部级及以上经济管理类专业高等教育教学成果奖</w:t>
            </w:r>
            <w:r>
              <w:rPr>
                <w:rFonts w:hint="eastAsia"/>
                <w:color w:val="auto"/>
                <w:sz w:val="18"/>
                <w:szCs w:val="18"/>
              </w:rPr>
              <w:t>；</w:t>
            </w:r>
          </w:p>
          <w:p>
            <w:pPr>
              <w:rPr>
                <w:color w:val="auto"/>
                <w:sz w:val="18"/>
                <w:szCs w:val="18"/>
              </w:rPr>
            </w:pPr>
            <w:r>
              <w:rPr>
                <w:rFonts w:hint="eastAsia"/>
                <w:color w:val="auto"/>
                <w:sz w:val="18"/>
                <w:szCs w:val="18"/>
              </w:rPr>
              <w:t>8、</w:t>
            </w:r>
            <w:r>
              <w:rPr>
                <w:rFonts w:hint="eastAsia" w:asciiTheme="minorEastAsia" w:hAnsiTheme="minorEastAsia"/>
                <w:color w:val="auto"/>
                <w:sz w:val="18"/>
                <w:szCs w:val="18"/>
              </w:rPr>
              <w:t>近5年，专任教师人均每年科研经费不低于1万元，且人均至少已开发1篇可用于本专业必修课或专业限选课教学的案例</w:t>
            </w:r>
            <w:r>
              <w:rPr>
                <w:rFonts w:hint="eastAsia"/>
                <w:color w:val="auto"/>
                <w:sz w:val="18"/>
                <w:szCs w:val="18"/>
              </w:rPr>
              <w:t>；</w:t>
            </w:r>
          </w:p>
          <w:p>
            <w:pPr>
              <w:rPr>
                <w:color w:val="auto"/>
                <w:sz w:val="18"/>
                <w:szCs w:val="18"/>
              </w:rPr>
            </w:pPr>
            <w:r>
              <w:rPr>
                <w:rFonts w:hint="eastAsia"/>
                <w:color w:val="auto"/>
                <w:sz w:val="18"/>
                <w:szCs w:val="18"/>
              </w:rPr>
              <w:t>9、</w:t>
            </w:r>
            <w:r>
              <w:rPr>
                <w:rFonts w:hint="eastAsia" w:asciiTheme="minorEastAsia" w:hAnsiTheme="minorEastAsia"/>
                <w:color w:val="auto"/>
                <w:sz w:val="18"/>
                <w:szCs w:val="18"/>
              </w:rPr>
              <w:t>近5年，申请单位须满足下列条件之一：获得过省部级及以上经济管理类专业科研成果奖；获得过全国MPAcc优秀教学案例奖或全国百篇优秀管理案例奖；有案例入选哈佛案例库或毅伟案例库</w:t>
            </w:r>
            <w:r>
              <w:rPr>
                <w:rFonts w:hint="eastAsia"/>
                <w:color w:val="auto"/>
                <w:sz w:val="18"/>
                <w:szCs w:val="18"/>
              </w:rPr>
              <w:t>；</w:t>
            </w:r>
          </w:p>
          <w:p>
            <w:pPr>
              <w:rPr>
                <w:color w:val="auto"/>
                <w:sz w:val="18"/>
                <w:szCs w:val="18"/>
              </w:rPr>
            </w:pPr>
            <w:r>
              <w:rPr>
                <w:rFonts w:hint="eastAsia"/>
                <w:color w:val="auto"/>
                <w:sz w:val="18"/>
                <w:szCs w:val="18"/>
              </w:rPr>
              <w:t>10、</w:t>
            </w:r>
            <w:r>
              <w:rPr>
                <w:rFonts w:hint="eastAsia" w:asciiTheme="minorEastAsia" w:hAnsiTheme="minorEastAsia"/>
                <w:color w:val="auto"/>
                <w:sz w:val="18"/>
                <w:szCs w:val="18"/>
              </w:rPr>
              <w:t>在拟开设的全部专业课程中采用实践教学的课程比例应达到80%以上，且行（企）业至少参与1门专业课程的教学</w:t>
            </w:r>
            <w:r>
              <w:rPr>
                <w:rFonts w:hint="eastAsia"/>
                <w:color w:val="auto"/>
                <w:sz w:val="18"/>
                <w:szCs w:val="18"/>
              </w:rPr>
              <w:t>；</w:t>
            </w:r>
          </w:p>
          <w:p>
            <w:pPr>
              <w:rPr>
                <w:color w:val="auto"/>
                <w:sz w:val="18"/>
                <w:szCs w:val="18"/>
              </w:rPr>
            </w:pPr>
            <w:r>
              <w:rPr>
                <w:rFonts w:hint="eastAsia"/>
                <w:color w:val="auto"/>
                <w:sz w:val="18"/>
                <w:szCs w:val="18"/>
              </w:rPr>
              <w:t>11、</w:t>
            </w:r>
            <w:r>
              <w:rPr>
                <w:rFonts w:hint="eastAsia" w:asciiTheme="minorEastAsia" w:hAnsiTheme="minorEastAsia"/>
                <w:color w:val="auto"/>
                <w:sz w:val="18"/>
                <w:szCs w:val="18"/>
              </w:rPr>
              <w:t>联合建设的实习基地不少于3个</w:t>
            </w:r>
            <w:r>
              <w:rPr>
                <w:rFonts w:hint="eastAsia"/>
                <w:color w:val="auto"/>
                <w:sz w:val="18"/>
                <w:szCs w:val="18"/>
              </w:rPr>
              <w:t>；</w:t>
            </w:r>
          </w:p>
          <w:p>
            <w:pPr>
              <w:rPr>
                <w:color w:val="auto"/>
              </w:rPr>
            </w:pPr>
            <w:r>
              <w:rPr>
                <w:rFonts w:hint="eastAsia"/>
                <w:color w:val="auto"/>
                <w:sz w:val="18"/>
                <w:szCs w:val="18"/>
              </w:rPr>
              <w:t>12、</w:t>
            </w:r>
            <w:r>
              <w:rPr>
                <w:rFonts w:hint="eastAsia" w:asciiTheme="minorEastAsia" w:hAnsiTheme="minorEastAsia"/>
                <w:color w:val="auto"/>
                <w:sz w:val="18"/>
                <w:szCs w:val="18"/>
              </w:rPr>
              <w:t>设立专门项目办公室，配备负责人和至少2名专职工作人员。</w:t>
            </w:r>
          </w:p>
        </w:tc>
        <w:tc>
          <w:tcPr>
            <w:tcW w:w="3345" w:type="dxa"/>
          </w:tcPr>
          <w:p>
            <w:pPr>
              <w:rPr>
                <w:color w:val="auto"/>
                <w:sz w:val="18"/>
                <w:szCs w:val="18"/>
              </w:rPr>
            </w:pPr>
            <w:r>
              <w:rPr>
                <w:rFonts w:hint="eastAsia"/>
                <w:color w:val="auto"/>
                <w:sz w:val="18"/>
                <w:szCs w:val="18"/>
              </w:rPr>
              <w:t>1、科研经费进账不少于63万元；</w:t>
            </w:r>
          </w:p>
          <w:p>
            <w:pPr>
              <w:rPr>
                <w:color w:val="auto"/>
                <w:sz w:val="18"/>
                <w:szCs w:val="18"/>
              </w:rPr>
            </w:pPr>
            <w:r>
              <w:rPr>
                <w:rFonts w:hint="eastAsia"/>
                <w:color w:val="auto"/>
                <w:sz w:val="18"/>
                <w:szCs w:val="18"/>
              </w:rPr>
              <w:t>2、新增承担省部级及以上科研项目20项；</w:t>
            </w:r>
          </w:p>
          <w:p>
            <w:pPr>
              <w:rPr>
                <w:color w:val="auto"/>
                <w:sz w:val="18"/>
                <w:szCs w:val="18"/>
              </w:rPr>
            </w:pPr>
            <w:r>
              <w:rPr>
                <w:rFonts w:hint="eastAsia"/>
                <w:color w:val="auto"/>
                <w:sz w:val="18"/>
                <w:szCs w:val="18"/>
              </w:rPr>
              <w:t>3、新增公开发表学术论文76篇，出版学术专著8部；</w:t>
            </w:r>
          </w:p>
          <w:p>
            <w:pPr>
              <w:rPr>
                <w:color w:val="auto"/>
                <w:sz w:val="18"/>
                <w:szCs w:val="18"/>
              </w:rPr>
            </w:pPr>
            <w:r>
              <w:rPr>
                <w:rFonts w:hint="eastAsia"/>
                <w:color w:val="auto"/>
                <w:sz w:val="18"/>
                <w:szCs w:val="18"/>
              </w:rPr>
              <w:t>4、新增获得省部级及以上教学、科研成果奖1-2项；</w:t>
            </w:r>
          </w:p>
          <w:p>
            <w:pPr>
              <w:rPr>
                <w:color w:val="auto"/>
                <w:sz w:val="18"/>
                <w:szCs w:val="18"/>
              </w:rPr>
            </w:pPr>
            <w:r>
              <w:rPr>
                <w:rFonts w:hint="eastAsia"/>
                <w:color w:val="auto"/>
                <w:sz w:val="18"/>
                <w:szCs w:val="18"/>
              </w:rPr>
              <w:t>5、建成与区域内知名企业共建高水平实践教学基地不少于1个。</w:t>
            </w:r>
          </w:p>
        </w:tc>
        <w:tc>
          <w:tcPr>
            <w:tcW w:w="2715" w:type="dxa"/>
          </w:tcPr>
          <w:p>
            <w:pPr>
              <w:rPr>
                <w:color w:val="auto"/>
                <w:sz w:val="18"/>
                <w:szCs w:val="18"/>
              </w:rPr>
            </w:pPr>
            <w:r>
              <w:rPr>
                <w:rFonts w:hint="eastAsia"/>
                <w:color w:val="auto"/>
                <w:sz w:val="18"/>
                <w:szCs w:val="18"/>
              </w:rPr>
              <w:t>1、科研经费进账不少于100万元；</w:t>
            </w:r>
          </w:p>
          <w:p>
            <w:pPr>
              <w:rPr>
                <w:color w:val="auto"/>
                <w:sz w:val="18"/>
                <w:szCs w:val="18"/>
              </w:rPr>
            </w:pPr>
            <w:r>
              <w:rPr>
                <w:rFonts w:hint="eastAsia"/>
                <w:color w:val="auto"/>
                <w:sz w:val="18"/>
                <w:szCs w:val="18"/>
              </w:rPr>
              <w:t>2、新增承担省部级及以上科研项目22项；</w:t>
            </w:r>
          </w:p>
          <w:p>
            <w:pPr>
              <w:rPr>
                <w:color w:val="auto"/>
                <w:sz w:val="18"/>
                <w:szCs w:val="18"/>
              </w:rPr>
            </w:pPr>
            <w:r>
              <w:rPr>
                <w:rFonts w:hint="eastAsia"/>
                <w:color w:val="auto"/>
                <w:sz w:val="18"/>
                <w:szCs w:val="18"/>
              </w:rPr>
              <w:t>3、新增公开发表学术论文84篇，出版学术专著10部；</w:t>
            </w:r>
          </w:p>
          <w:p>
            <w:pPr>
              <w:rPr>
                <w:color w:val="auto"/>
                <w:sz w:val="18"/>
                <w:szCs w:val="18"/>
              </w:rPr>
            </w:pPr>
            <w:r>
              <w:rPr>
                <w:rFonts w:hint="eastAsia"/>
                <w:color w:val="auto"/>
                <w:sz w:val="18"/>
                <w:szCs w:val="18"/>
              </w:rPr>
              <w:t>4、培育全国MPAcc优秀教学案例奖1-2个；</w:t>
            </w:r>
          </w:p>
          <w:p>
            <w:pPr>
              <w:rPr>
                <w:color w:val="auto"/>
                <w:sz w:val="18"/>
                <w:szCs w:val="18"/>
              </w:rPr>
            </w:pPr>
            <w:r>
              <w:rPr>
                <w:rFonts w:hint="eastAsia"/>
                <w:color w:val="auto"/>
                <w:sz w:val="18"/>
                <w:szCs w:val="18"/>
              </w:rPr>
              <w:t>5、新增获得省部级及以上教学、科研成果奖1-2项；</w:t>
            </w:r>
          </w:p>
          <w:p>
            <w:pPr>
              <w:rPr>
                <w:color w:val="auto"/>
                <w:sz w:val="18"/>
                <w:szCs w:val="18"/>
              </w:rPr>
            </w:pPr>
            <w:r>
              <w:rPr>
                <w:rFonts w:hint="eastAsia"/>
                <w:color w:val="auto"/>
                <w:sz w:val="18"/>
                <w:szCs w:val="18"/>
              </w:rPr>
              <w:t>6、6年建设期内引进或培养在省内本学科领域内有较大影响的领军人才1-2名。</w:t>
            </w:r>
          </w:p>
          <w:p>
            <w:pPr>
              <w:rPr>
                <w:color w:val="auto"/>
                <w:sz w:val="18"/>
                <w:szCs w:val="18"/>
              </w:rPr>
            </w:pPr>
            <w:r>
              <w:rPr>
                <w:rFonts w:hint="eastAsia"/>
                <w:color w:val="auto"/>
                <w:sz w:val="18"/>
                <w:szCs w:val="18"/>
              </w:rPr>
              <w:t>7、建成与区域内知名企业共建高水平实践教学基地不少于2个；</w:t>
            </w:r>
            <w:bookmarkStart w:id="0" w:name="_GoBack"/>
            <w:bookmarkEnd w:id="0"/>
          </w:p>
          <w:p>
            <w:pPr>
              <w:rPr>
                <w:color w:val="auto"/>
                <w:sz w:val="18"/>
                <w:szCs w:val="18"/>
              </w:rPr>
            </w:pPr>
            <w:r>
              <w:rPr>
                <w:rFonts w:hint="eastAsia"/>
                <w:color w:val="auto"/>
                <w:sz w:val="18"/>
                <w:szCs w:val="18"/>
              </w:rPr>
              <w:t>8、建设期末，保证完成左侧“会计专业硕士点增列条件”中列出的所有要求。</w:t>
            </w:r>
          </w:p>
        </w:tc>
        <w:tc>
          <w:tcPr>
            <w:tcW w:w="673" w:type="dxa"/>
            <w:vAlign w:val="center"/>
          </w:tcPr>
          <w:p>
            <w:pPr>
              <w:rPr>
                <w:color w:val="auto"/>
                <w:sz w:val="18"/>
                <w:szCs w:val="18"/>
              </w:rPr>
            </w:pPr>
            <w:r>
              <w:rPr>
                <w:rFonts w:hint="eastAsia"/>
                <w:color w:val="auto"/>
                <w:sz w:val="18"/>
                <w:szCs w:val="18"/>
              </w:rPr>
              <w:t>经管学院</w:t>
            </w:r>
          </w:p>
        </w:tc>
        <w:tc>
          <w:tcPr>
            <w:tcW w:w="836" w:type="dxa"/>
            <w:vAlign w:val="center"/>
          </w:tcPr>
          <w:p>
            <w:pPr>
              <w:rPr>
                <w:color w:val="auto"/>
                <w:sz w:val="18"/>
                <w:szCs w:val="18"/>
              </w:rPr>
            </w:pPr>
            <w:r>
              <w:rPr>
                <w:rFonts w:hint="eastAsia"/>
                <w:color w:val="auto"/>
                <w:sz w:val="18"/>
                <w:szCs w:val="18"/>
              </w:rPr>
              <w:t>人事处、学科建设中心、科技处、教务处、校企合作处</w:t>
            </w:r>
          </w:p>
        </w:tc>
      </w:tr>
    </w:tbl>
    <w:p/>
    <w:sectPr>
      <w:pgSz w:w="16838" w:h="11906" w:orient="landscape"/>
      <w:pgMar w:top="1803" w:right="478" w:bottom="1803" w:left="82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4E69E5"/>
    <w:multiLevelType w:val="singleLevel"/>
    <w:tmpl w:val="DF4E69E5"/>
    <w:lvl w:ilvl="0" w:tentative="0">
      <w:start w:val="6"/>
      <w:numFmt w:val="decimal"/>
      <w:suff w:val="nothing"/>
      <w:lvlText w:val="%1、"/>
      <w:lvlJc w:val="left"/>
    </w:lvl>
  </w:abstractNum>
  <w:abstractNum w:abstractNumId="1">
    <w:nsid w:val="4155BC9E"/>
    <w:multiLevelType w:val="singleLevel"/>
    <w:tmpl w:val="4155BC9E"/>
    <w:lvl w:ilvl="0" w:tentative="0">
      <w:start w:val="6"/>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attachedTemplate r:id="rId1"/>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424B0B"/>
    <w:rsid w:val="000E28E7"/>
    <w:rsid w:val="00312DB0"/>
    <w:rsid w:val="00C942D4"/>
    <w:rsid w:val="01686EC3"/>
    <w:rsid w:val="025A646D"/>
    <w:rsid w:val="03564EA5"/>
    <w:rsid w:val="03A677CE"/>
    <w:rsid w:val="06D20145"/>
    <w:rsid w:val="07924B25"/>
    <w:rsid w:val="097B7FC1"/>
    <w:rsid w:val="0C641356"/>
    <w:rsid w:val="0F664A24"/>
    <w:rsid w:val="13A95BE6"/>
    <w:rsid w:val="15F02CB0"/>
    <w:rsid w:val="19B84B7C"/>
    <w:rsid w:val="1A6B1109"/>
    <w:rsid w:val="1D424B0B"/>
    <w:rsid w:val="1F572B2D"/>
    <w:rsid w:val="20645E1F"/>
    <w:rsid w:val="20A04238"/>
    <w:rsid w:val="252B4F60"/>
    <w:rsid w:val="2DEA53CD"/>
    <w:rsid w:val="33363D6C"/>
    <w:rsid w:val="3475247C"/>
    <w:rsid w:val="37291984"/>
    <w:rsid w:val="388B3D50"/>
    <w:rsid w:val="389930D3"/>
    <w:rsid w:val="3D30793E"/>
    <w:rsid w:val="41301CB4"/>
    <w:rsid w:val="41382CFE"/>
    <w:rsid w:val="41C56F37"/>
    <w:rsid w:val="43DA0C54"/>
    <w:rsid w:val="47FA1314"/>
    <w:rsid w:val="4B581292"/>
    <w:rsid w:val="4B5C23F5"/>
    <w:rsid w:val="516C74BE"/>
    <w:rsid w:val="54A933E7"/>
    <w:rsid w:val="58321F78"/>
    <w:rsid w:val="59CE12EB"/>
    <w:rsid w:val="5CCB6E39"/>
    <w:rsid w:val="5E9E59D5"/>
    <w:rsid w:val="66D3062F"/>
    <w:rsid w:val="6C9D7214"/>
    <w:rsid w:val="6D535020"/>
    <w:rsid w:val="7618670F"/>
    <w:rsid w:val="77F94352"/>
    <w:rsid w:val="7CDC25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1</Pages>
  <Words>722</Words>
  <Characters>4118</Characters>
  <Lines>34</Lines>
  <Paragraphs>9</Paragraphs>
  <TotalTime>6</TotalTime>
  <ScaleCrop>false</ScaleCrop>
  <LinksUpToDate>false</LinksUpToDate>
  <CharactersWithSpaces>4831</CharactersWithSpaces>
  <Application>WPS Office_11.1.0.7881_F1E327BC-269C-435d-A152-05C5408002CA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2018-09-07T08:15:00Z</dcterms:created>
  <dc:creator>Administrator</dc:creator>
  <cp:lastModifiedBy>-</cp:lastModifiedBy>
  <cp:lastPrinted>2018-10-09T08:31:00Z</cp:lastPrinted>
  <dcterms:modified xsi:type="dcterms:W3CDTF">2018-10-29T09:01:14Z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2052-11.1.0.7881</vt:lpwstr>
  </property>
</Properties>
</file>